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6B8F1D9">
      <w:pPr>
        <w:jc w:val="center"/>
        <w:rPr>
          <w:rFonts w:ascii="Arial" w:hAnsi="Arial" w:eastAsia="Arial" w:cs="Arial"/>
          <w:b/>
        </w:rPr>
      </w:pPr>
    </w:p>
    <w:p w14:paraId="36017E8D">
      <w:pPr>
        <w:spacing w:after="0"/>
        <w:jc w:val="right"/>
      </w:pPr>
      <w:r>
        <mc:AlternateContent>
          <mc:Choice Requires="wpg">
            <w:drawing>
              <wp:anchor distT="0" distB="0" distL="114300" distR="114300" simplePos="0" relativeHeight="251659264" behindDoc="0" locked="0" layoutInCell="1" allowOverlap="1">
                <wp:simplePos x="0" y="0"/>
                <wp:positionH relativeFrom="column">
                  <wp:posOffset>88900</wp:posOffset>
                </wp:positionH>
                <wp:positionV relativeFrom="paragraph">
                  <wp:posOffset>4445</wp:posOffset>
                </wp:positionV>
                <wp:extent cx="1517650" cy="1313815"/>
                <wp:effectExtent l="0" t="0" r="6350" b="635"/>
                <wp:wrapSquare wrapText="bothSides"/>
                <wp:docPr id="986" name="Group 986"/>
                <wp:cNvGraphicFramePr/>
                <a:graphic xmlns:a="http://schemas.openxmlformats.org/drawingml/2006/main">
                  <a:graphicData uri="http://schemas.microsoft.com/office/word/2010/wordprocessingGroup">
                    <wpg:wgp>
                      <wpg:cNvGrpSpPr/>
                      <wpg:grpSpPr>
                        <a:xfrm>
                          <a:off x="0" y="0"/>
                          <a:ext cx="1517650" cy="1313815"/>
                          <a:chOff x="0" y="0"/>
                          <a:chExt cx="1517650" cy="1313815"/>
                        </a:xfrm>
                      </wpg:grpSpPr>
                      <wps:wsp>
                        <wps:cNvPr id="6" name="Rectangle 6"/>
                        <wps:cNvSpPr/>
                        <wps:spPr>
                          <a:xfrm>
                            <a:off x="1069086" y="264746"/>
                            <a:ext cx="37903" cy="172288"/>
                          </a:xfrm>
                          <a:prstGeom prst="rect">
                            <a:avLst/>
                          </a:prstGeom>
                          <a:ln>
                            <a:noFill/>
                          </a:ln>
                        </wps:spPr>
                        <wps:txbx>
                          <w:txbxContent>
                            <w:p w14:paraId="3E5E6DDE">
                              <w:r>
                                <w:rPr>
                                  <w:rFonts w:ascii="Cambria" w:hAnsi="Cambria" w:eastAsia="Cambria" w:cs="Cambria"/>
                                  <w:b/>
                                  <w:sz w:val="20"/>
                                </w:rPr>
                                <w:t xml:space="preserve"> </w:t>
                              </w:r>
                            </w:p>
                          </w:txbxContent>
                        </wps:txbx>
                        <wps:bodyPr horzOverflow="overflow" vert="horz" lIns="0" tIns="0" rIns="0" bIns="0" rtlCol="0">
                          <a:noAutofit/>
                        </wps:bodyPr>
                      </wps:wsp>
                      <pic:pic xmlns:pic="http://schemas.openxmlformats.org/drawingml/2006/picture">
                        <pic:nvPicPr>
                          <pic:cNvPr id="44" name="Picture 44"/>
                          <pic:cNvPicPr/>
                        </pic:nvPicPr>
                        <pic:blipFill>
                          <a:blip r:embed="rId7" cstate="email"/>
                          <a:stretch>
                            <a:fillRect/>
                          </a:stretch>
                        </pic:blipFill>
                        <pic:spPr>
                          <a:xfrm>
                            <a:off x="0" y="0"/>
                            <a:ext cx="1517650" cy="1313815"/>
                          </a:xfrm>
                          <a:prstGeom prst="rect">
                            <a:avLst/>
                          </a:prstGeom>
                        </pic:spPr>
                      </pic:pic>
                    </wpg:wgp>
                  </a:graphicData>
                </a:graphic>
              </wp:anchor>
            </w:drawing>
          </mc:Choice>
          <mc:Fallback>
            <w:pict>
              <v:group id="_x0000_s1026" o:spid="_x0000_s1026" o:spt="203" style="position:absolute;left:0pt;margin-left:7pt;margin-top:0.35pt;height:103.45pt;width:119.5pt;mso-wrap-distance-bottom:0pt;mso-wrap-distance-left:9pt;mso-wrap-distance-right:9pt;mso-wrap-distance-top:0pt;z-index:251659264;mso-width-relative:page;mso-height-relative:page;" coordsize="1517650,1313815" o:gfxdata="UEsDBAoAAAAAAIdO4kAAAAAAAAAAAAAAAAAEAAAAZHJzL1BLAwQUAAAACACHTuJA40uxM9YAAAAH&#10;AQAADwAAAGRycy9kb3ducmV2LnhtbE2PwUrDQBCG74LvsIzgzW7S2lZiNkWKeiqCrSDeptlpEpqd&#10;Ddlt0r6948ne5uMf/vkmX51dqwbqQ+PZQDpJQBGX3jZcGfjavT08gQoR2WLrmQxcKMCquL3JMbN+&#10;5E8atrFSUsIhQwN1jF2mdShrchgmviOW7OB7h1Gwr7TtcZRy1+ppkiy0w4blQo0drWsqj9uTM/A+&#10;4vgyS1+HzfGwvvzs5h/fm5SMub9Lk2dQkc7xfxn+9EUdCnHa+xPboFrhR3klGliCknQ6nwnuZUiW&#10;C9BFrq/9i19QSwMEFAAAAAgAh07iQJJKExelAgAAwAYAAA4AAABkcnMvZTJvRG9jLnhtbK1V227b&#10;MAx9H7B/EPS+Ok7SJDXiFMO6FgWGNVi3D1Bk2RYgS4KkxOm+fqR8ydpuaNHtIQolUuThIUWvL4+N&#10;IgfhvDQ6p+nZhBKhuSmkrnL64/v1hxUlPjBdMGW0yOmD8PRy8/7durWZmJraqEI4Ak60z1qb0zoE&#10;myWJ57VomD8zVmhQlsY1LMDWVUnhWAveG5VMJ5NF0hpXWGe48B5Orzol7T261zg0ZSm5uDJ83wgd&#10;Oq9OKBYgJV9L6+kmoi1LwcNdWXoRiMopZBriCkFA3uGabNYsqxyzteQ9BPYaCE9yapjUEHR0dcUC&#10;I3snn7lqJHfGmzKccdMkXSKREcginTzh5saZvY25VFlb2ZF0KNQT1t/sln89bB2RRU4vVgtKNGug&#10;5DEuwQOgp7VVBlY3zt7bresPqm6HGR9L1+A/5EKOkdiHkVhxDITDYXqeLhfnwDkHXTpLZ6v0vKOe&#10;11CfZ/d4/fmFm8kQOEF8I5zWQlP6E1P+35i6r5kVsQAeOeiZGnn6Bu3FdKUE6ZmKViNNPvPA2B84&#10;SieLiwnSDWxMF/PlPF5n2UDXbHkxmfVkLafT1Qq5GjNmmXU+3AjTEBRy6gBGbD52+OJDZzqYYHSl&#10;cdXmWirVafEEiBsAohSOu2Msrs92pniAVGvjft7BoCiVaXNqeoni7ICgqKVE3WqgGB/WILhB2A2C&#10;C+qTic+vg/FxH0wpI04M3EXr8UDtNmsreQa/vt1BelbEl4cM3Ap7h7VDb/qwlRxLgZtTIefzoeNB&#10;jeYEToCEwQrvIGG4f+Rip6RFNjEhlP/v8CIuE81OwJt0t0UKfQDjOMCzhPkqVfdsfHAi8Brjl4AD&#10;G7Gr7KiIoE84MYW/dCNU7/Uv9q1dGOF0AKIIeGLJ42AD6dHk/H0frU4fns0vUEsDBAoAAAAAAIdO&#10;4kAAAAAAAAAAAAAAAAAKAAAAZHJzL21lZGlhL1BLAwQUAAAACACHTuJATz4A3HUVAABwFQAAFQAA&#10;AGRycy9tZWRpYS9pbWFnZTEuanBlZwFwFY/q/9j/4AAQSkZJRgABAQEAYABgAAD/2wBDAAgGBgcG&#10;BQgHBwcJCQgKDBQNDAsLDBkSEw8UHRofHh0aHBwgJC4nICIsIxwcKDcpLDAxNDQ0Hyc5PTgyPC4z&#10;NDL/2wBDAQkJCQwLDBgNDRgyIRwhMjIyMjIyMjIyMjIyMjIyMjIyMjIyMjIyMjIyMjIyMjIyMjIy&#10;MjIyMjIyMjIyMjIyMjL/wAARCACKAK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6iiigAooooAKKKKACiiigArP1S7miiW3tNn2y4OyEyAl&#10;V9XYDso57ZOFyNwq+zBVJJAA6k1kWcyOJ9bumEcLRnyixwI4Bzu9t33j7bQelAF3T7z7bbB2j8uV&#10;SUljJyUccEdBn2OOQQRwat1jyzR2t1FqkDq9ndBVnZTlecbJB/In0KnOFrYByKACiiigAooooAKK&#10;KKACiiigAooooAKKKKACiiigAooqC9u4rKzluZidkYyQoyWPYAdyTwB3JFAGXr17brG9rcSrHarH&#10;5965/hgGeD/vkEY7gPjkCsXxRcnX7yw8L2MuUvFFzeyxn7lsCDwf9o4AP9DWdqdrN4m1tPDblvKB&#10;W91mSNiQv/POBT7ADsM43dc0vw5sI9C1nXNGumZ9RhZCksjZMlsBhMew7/UUGMpNvl6Fvw1cJpCa&#10;p4V1eQGLT0aWB5jxJZt0z67eVP5dq6Dw7qMd7aCNbjzwiK0UxP8ArYTnY314KnPOVPHIrnviT4fT&#10;UNMh1VY5HaxbdcJExVpbckF1z9Bn865HxD4wsPhcHjslhvjcp9o0q38xgbZZOXD/APTPIUgdSR7Z&#10;oHHmT5eh7TketFfJt38dfHFzfR3Ed5bW0aHPkQ267G9juy3619JeCvE8Xi/wnY6zGqxtMmJYwfuS&#10;A4YfmOPYig1OgooooAKKKKACiiigAooooAKKKKACiiigAJxXKeJ9cjsIZrsr5kdkwWGIZ/0i6YfI&#10;gHcLkHvyQeq1vandva2wWEK1zM3lQI3RnPc+wALH2Brj9JtE17xSsgJk0nQ2aOJmx/pF2eXkPqQT&#10;+ZyKCZPojc8IaFJomkZu283UrtzcXkp6tI3JH0HT9e9UfF9lPZ3th4nsYZJbmwby7iKJctNbscMA&#10;B1IzkfjXWllQEk4A7mvLPiL8XYdA0uePw+sd7db/ACTdZBhhbB6f32GOgyAep7UByq1jY+IvxM0v&#10;wPYeUwF1qk8ZMFoOw6Bn9F/U/wAvkzVdVvdb1S41HUJ2nup3LyO3c+w7AdAOwpupane6xqM9/qF1&#10;Jc3U7bpJZDksf8OwHaoESNtu6UKScHIOAPXigoUwkWyzk4DMVUY6kAE/zFeifCH4inwZrTWV+7HR&#10;r5gJup8h+gkA/Q+30Arz24t3gIBZZIifkkQ5VunT8McHkdwKveHNVGjazDeCxtbx1+VEugdqk8bu&#10;COR2PY89QDQB9zqyuoZWDKRkEHIIpay/D2rQ65oVrqUCNHHMn3GBBQglSvIB4II6DpWpQAUUUUAF&#10;FFFABRRRQAUUUUAFIWC9TgUp6V8yfGX4m3uraxd+G9LuGh0u2cxXDRnBuHHDAn+6DxjvjPPGADv/&#10;ABn8XfDGk391DBfXF/dCAwRGwClICfvNvJwWPy9A2NvuRXMaD8YFOlwaPolpbaUIQERrkm5klYsO&#10;Qo2DccseSenvXg1WbK9lsZmkiWFiylD5sKSjB9mBGfegVtbn1HcRX09tbz6tK2o27QpJLPeLEltk&#10;9Nw87y1Abg7Vdsd68f8AiP4ouWvTYu+mXNxEDH9ossvFApHKRAgKpGTkjLcj5uBVnRb+68R6Jd3m&#10;u6sLwWr5ihvrhVtAVUBW2+YGzyeAh6984Hm+rXZvdRmlK26jdgC2gWJCB3Cqq4H4ZoGUqKSloAs2&#10;t2IVaGZTJbSffTPIPZh6EZ/pWtpngrX9au7eLS9MubqG4bEVykTeUwzjJfoAO+elc/XtvwF12GGw&#10;8UaRdxS3MP2U3ohHIZVBWQfVgyD8KAPcPA+gTeGPBum6NcSpLNbRESOn3SxYsce2TXQVj6Bqa3tm&#10;EM/nuiqyS/8APaJh8kn1IBB/2lb2rYoAKKKKACiiigAooooAKKKOlAGX4j1ZdC8N6nqjBT9ktpJg&#10;rHAYqpIH4nA/GvhqWV5pnkkYs7sWZic5J719P/HrxHb2fgKXS43ja4vbpIGQn5kC4lJH0/d/g4r5&#10;doAKKns7Zry8htk+9K4Uegz3PtS332f7bMLUfuFbbGT1YDjcfc9fxoAr5PY0lLT44nmkWONWd2OF&#10;VRksfQDuaAGAVtaHottq9/Dpz3rw3904htY1g3o0rHCrIxYbAWwMgN1rOuIJ9NupLeeN4ruJtrqw&#10;w0bDqPYg/lT9L1KbS9astTiw09rcJcLv5BZWDDP4igCK9srnT72azu4HguIXKSRyDBUjsa1/BniO&#10;48J+KrHVoJGVIpAJ0U/6yIn51P1H64Pauh+Mlgbb4g3N8s7z22pxR3tvMxBDxsuBjHYYIHsBXn9A&#10;H1vplzFpeqQppki3On3SveaU8RyskZwZrce/R1HHIwT1r0KCeK5gSeFw8UihkdTkMCMgivm34O6l&#10;LrukX/hMzFLy1P8AaWlTE/6qRSAy/Q5HHu1e1+FdaF3Em9TELh3DRE8wXK8yxEdeeXHfG7oABQQt&#10;HY6uiiigsKKKKACiiigAqnqV4bO2/dKHuJT5cCHoznpn2HJPsDVw9DXkXxe8TXWm+D5NQtJHje9k&#10;FlZSxsVKR8tJKCMH5tu0Efw4IPzUAebfG/XrK81mx0KxnNwulrJ9olyMNcO2ZOg68AnHAJIAGDXl&#10;NOJ3HJJJPrW74P8ACd/4x8Q2+lWCkbzummIysMfdj/QdzgUAehfAXwZ/bOuXOuX1skmnWsTwKsqb&#10;llkddpXBGCAjHP8AvLXa+OvgfoMmm32q6DZ3MV7HEZEsoJsRyEHJwCrHJGcKMDOOlep+H9DsvDmh&#10;2uk6fHstrZNq56se7E+pPJrRkjWWJo3AKsMMD3FAHwn5unJu/wBEuHbA27pwFB9wFyR9CK6T4d61&#10;c2nxB0Bbby7eOTUI42WJMblkYKVJPJGDwCTirHxO8AXfgvxFctHCx0eeUm0mCttUHkRknPzKOM55&#10;Az1yBn/DWfS7X4iaLc6zMsFlDP5hlc4VXAJjJPYbwvPT14oA3fjd4fk0X4jXlyIglrqIFzEyjAJI&#10;AcfXcCT/ALwrzjuK+wfiD4A034iaLDKLgpeQKzWlzG25SD1BHQqcDnr/AF+QogguUEudgcb8dcZ5&#10;oA+iviV4Dl1v4WaDqFmjPfaPYR5jA5kh8tdwwO4wDj6184Yr7y0+8stT023urCSOazmjDROn3WQj&#10;j/8AVXy/8Z/AD+GPET6rYWwTR79yyeWDiGQjLKfQE5I9sgdKAOX+HOtt4e+IGjX427PtAik3HACP&#10;8jH8AxP4V9M6/aLoOvDUlcxadqrJFeMoH+j3A/1U/PHUAHt65zXx70INfYHgrxHpnxJ8BmGY7phE&#10;La/hPDJJt+8PY/eB/qDQTJXR2GnXbXltmRQlxG3lzRg52OOv4Hgj1BBq5XB+HNSuLC4mstQfN3px&#10;W3vGP/LWD/llcfh0b2OSeBXdg5oGndXFooooGFFFNdiqMQpYgZwOpoAy9VlNxIunRuU8xd9y6sQY&#10;4e/I6FvujofvEH5a4nV9Cm+KHhTU4A8VrYGdTpDGPoY8qXOP4WyR7DtW/cWFzq2hXlrdW+oW1xqH&#10;Nw8OwlF/55qS2MBfl6c5J6k1Ba6JqlnaxWtvquupDEgREWK0AUDgDkUES5r6HgN58DPHVs5EWnW9&#10;0B/FDdJg/wDfRBqPRfAXxL0DVfM0zT9RsLooR5kTgKwHO0sDt/A8ZxX0M2l6yf8AmK+Ij9BZimnS&#10;tXx/yEvE34PZigfM+xseFn1s+HrVfEKRLqaArK0RBD4PDYHAJGCQO+a2c1xo0rVR1vvFR+k1lTG0&#10;nUyT/pfi78Liy/xoFzS7G94l8N6d4r0O40nU42a3mwcocMjDkMp9RXk9z+ztpq6FeQ22qSvqXmF7&#10;WeRdqhcDEbgE57/MADz0PSu3/sXU85+2eMfwu7P/ABpjaLqR/wCXnxp+F7Zj/wBmoC8uxi/Cz4ce&#10;IPBlxNJf6yv2OaIA2EZMi7yBlsnAUg56A5B56Vy3iH9nWRpUPh7V08sj94moD5t3qGRentivQDom&#10;pEY8/wAbY9r+z/8AiqQ6DqJ/5b+N/wDwY2n/AMXQF5djU+HnhCTwR4YXR5NRa+ImaUOU2hN2PlUZ&#10;PHBP1JrqnVXGGUMPQiuB/wCEfv8Ar5/jf/wZWv8A8XSjw7fHrceNvx1O3/8Ai6AvLseO/FH4Xa5D&#10;4xub3QtEefTbsiSJLCEsIztG4FR93kE+nP4V3XwO8Ba/4WkvtS1dfssV5CiJaMfnPRg7DtjJGDzy&#10;eB36oeHLzvceM/x1SD/4unf8I3df8/HjD/waQ/8AxdA7y7FrxnZSWUlv4msovMnsFK3UIH+vtj99&#10;SO+Oo/GtfQL+KW3jt45fNiMazWspJJlgOMdeSV+6ep+6Ty2K51vDNw6lWn8XkEYIOqRdP++6tafp&#10;E+h6TDaaXpmpFraUywfabiE4z95MhuFbnscE5wSBQKKdzsqKRSSMkY9qWgsKKguLu3tFDXFxFCrH&#10;AMjhcn05qVXVlDKwIPII70CuZmoeI9M0zVbPTLu4KXV4cQJsY7ucdQMDn1rTLqqliQABkk1wXjHw&#10;9qmqeNPD1/ZW3m21q6md/MUbAHB6E5PHpXL6L4E1+OfSXvLOVB/pEd4TdA4jZcKOG6HJ+7QZOpJN&#10;qx69Zaha6jbi4s7iK4hJKiSJgykg4OCKsbh6ivEbfwL4lj8P29qNMeJorzfdxi4R/tSZ+UhS235f&#10;mGCRnd7VpWXgLV7i48Pw6pbzPYQecLhGulzGjfdXKkHGewzwaBKpL+U9c3D1FIZFUEkjivHrzwJr&#10;76nf3ltaYlOsrc2zi4UYhy5J68dU96sW3gzXrjxZHe32mwxWzz3AuWjlXEkci465LnPPBPGeAOaB&#10;+0l/Kehx+JdPuBbPZGW9hnlMImtYzIisCASzDgDnr0rW3j1FeI+H/BurLPpiR2dus+n6osl3NHep&#10;ISoIxlQeMYbjqav6P4E8S2mu2U0qJFJb3Us1xqIuMm5RtuFx17Hr/eoJVSfY9g3D1FZ2t65Z6BpF&#10;xqd2XaCDbvEQBblgo4z6kV5dpXw+1/Tn0i5jt4FureO5WctP8p3AhAcHpzzisWDw9c3a31ul7o63&#10;F3ZJbpDFewDMonjc/KmOyn1PvQDqyXQ9pm16xtvDy63cSGKyMKzbmXkKwBAwO/IGPWsjRPH2na5q&#10;UNjHZalbSzoZIGubfasq4JypBPGAeenFN1Xwxcat8O4vD7SpFdLawpuJyu9AvHHbIrl9J8LeM/7S&#10;sVnuDY2dvaG2cRXrMjERlFcJ0B+6fqM0FSlNNWR6gtxC7OqzRs0f3wGBK/X0rP1DXoNPubSEwT3H&#10;2l9ga3UOI+nL88Dnr7V5lp3w416CQK6Wdt5Nlc27SxSkm7aQOFLcdBuA5/u/TFq0+Gl7aweGpIor&#10;ZL2zuTLfuJT843grj1wo9qA55vodTpPxF0jWL3T7W3gu1kvjIIi6KANnXOGPpXUw3dvclhBPFKUO&#10;G2OG2n0OK8m0r4deILB9OkzY77ZLlTvcsuZFYLkY5GSM1teCPCGr6J4il1K/S1jSWy8lkgKjL7lO&#10;dqIqgcE98Z6mgUJz2kj0WikzRketBuePePI4oviHDc6/bzzaK1oyRbFJG7Y3Ax0bd/Q9ORJf69qO&#10;iaZpFtowv9J0Z7WaRJrq3WWQyDeVQgggAkLj2avW8U0cnmgwdPV2Z5FN4q8YzfYkaWSzd9IlupVF&#10;qpy6eYVPI4LBF49+BUV/4y8VxW2mzpdSCSa0jYwx24DM+/BYhoyGyP4VI9e3PsY6H60o7/WgPZvu&#10;eUXfibxc3iy4tVnFoiXMa29tLbsVmiOc/djYnOBzuGM/lKmo+NbzS/EOow6rJG1hNIlva/Y48uoY&#10;HOSOflzjg5r1IfdpB0NA/Zvqzyi38WeJrrRL/Vbpb2GGW7itraKGFVMIwS7EmNjj7vODycCse+vf&#10;Emo6dpN3qM+oqlvqzI7JbnKouxlcjaNxHzYyvOOle396TvQL2Te7PHptT8TWVxrz2kE1vAdYCy3E&#10;FkocQbnywwnzdvm5P51Na6140uI9Jj82+WGfU2h+0/ZQHa3JQBmBXAxljkj+VeuCndzQHsn3OQ+H&#10;V3rN54bkbXPtH2lLl0QzxlGKYUg9BnknmvPfCvw7v9cjd75202GC8L4e1xNJwPuscYX8xnnFe4dz&#10;SL1oHKkna/Q8oc+ODouuX8F1qJuY7toYLZoefJyDvQEZJxwPbOOeapTX/jOHw5q5tpdT+yrcxC3m&#10;uwUuDGQ2/bkAnnZ9Bn3r2XtVPVrW3vNOlhuYIp4mHKSoGU49jQS6Wm547Hq3im9i1SDTrzWJWg1O&#10;CNCylpY4iJc7gOOy5961PFLeKrLU5LXSjr05tVi8qfLOsw6scKgU4JwdxPtgV6H4dsbSx0lVtLWC&#10;3VzuYRRhAx9TitfuaAjTbjuePagPGp1PUJoJtbSNdXCQIiMUMBL5YAjlRhfbnpUkQ8ZkW9mZtaCL&#10;rTRtPtbf9n+UbiSMFepyRjrXrn+FKelA/Y+Z4/o48bxXmjSzvrLj7fLDPHOrFBD8mGbI6Hc/J9OM&#10;YrR8Ft4vPiS3/tdtTCHzftSTRN5QPO3DE7RzjGwV6ePuikHWgapW1uf/2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BYYLMbtAAAACIBAAAZAAAA&#10;ZHJzL19yZWxzL2Uyb0RvYy54bWwucmVsc4WPywrCMBBF94L/EGZv07oQkaZuRHAr9QOGZJpGmwdJ&#10;FPv3BtwoCC7nXu45TLt/2ok9KCbjnYCmqoGRk14ZpwVc+uNqCyxldAon70jATAn23XLRnmnCXEZp&#10;NCGxQnFJwJhz2HGe5EgWU+UDudIMPlrM5YyaB5Q31MTXdb3h8ZMB3ReTnZSAeFINsH4Oxfyf7YfB&#10;SDp4ebfk8g8FN7a4CxCjpizAkjL4DpvqGkgD71r+9Vn3Al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PcbAABbQ29udGVudF9UeXBlc10ueG1sUEsBAhQACgAAAAAAh07iQAAAAAAAAAAAAAAAAAYAAAAA&#10;AAAAAAAQAAAAxhkAAF9yZWxzL1BLAQIUABQAAAAIAIdO4kCKFGY80QAAAJQBAAALAAAAAAAAAAEA&#10;IAAAAOoZAABfcmVscy8ucmVsc1BLAQIUAAoAAAAAAIdO4kAAAAAAAAAAAAAAAAAEAAAAAAAAAAAA&#10;EAAAAAAAAABkcnMvUEsBAhQACgAAAAAAh07iQAAAAAAAAAAAAAAAAAoAAAAAAAAAAAAQAAAA5BoA&#10;AGRycy9fcmVscy9QSwECFAAUAAAACACHTuJAWGCzG7QAAAAiAQAAGQAAAAAAAAABACAAAAAMGwAA&#10;ZHJzL19yZWxzL2Uyb0RvYy54bWwucmVsc1BLAQIUABQAAAAIAIdO4kDjS7Ez1gAAAAcBAAAPAAAA&#10;AAAAAAEAIAAAACIAAABkcnMvZG93bnJldi54bWxQSwECFAAUAAAACACHTuJAkkoTF6UCAADABgAA&#10;DgAAAAAAAAABACAAAAAlAQAAZHJzL2Uyb0RvYy54bWxQSwECFAAKAAAAAACHTuJAAAAAAAAAAAAA&#10;AAAACgAAAAAAAAAAABAAAAD2AwAAZHJzL21lZGlhL1BLAQIUABQAAAAIAIdO4kBPPgDcdRUAAHAV&#10;AAAVAAAAAAAAAAEAIAAAAB4EAABkcnMvbWVkaWEvaW1hZ2UxLmpwZWdQSwUGAAAAAAoACgBTAgAA&#10;Ox0AAAAA&#10;">
                <o:lock v:ext="edit" aspectratio="f"/>
                <v:rect id="Rectangle 6" o:spid="_x0000_s1026" o:spt="1" style="position:absolute;left:1069086;top:264746;height:172288;width:37903;" filled="f" stroked="f" coordsize="21600,21600" o:gfxdata="UEsDBAoAAAAAAIdO4kAAAAAAAAAAAAAAAAAEAAAAZHJzL1BLAwQUAAAACACHTuJAkILC5r4AAADa&#10;AAAADwAAAGRycy9kb3ducmV2LnhtbEWPQWvCQBSE7wX/w/KE3urGHkKMboJoizm2Roi9PbKvSTD7&#10;NmS3xvbXdwsFj8PMfMNs8pvpxZVG11lWsFxEIIhrqztuFJzK16cEhPPIGnvLpOCbHOTZ7GGDqbYT&#10;v9P16BsRIOxSVNB6P6RSurolg25hB+LgfdrRoA9ybKQecQpw08vnKIqlwY7DQosD7VqqL8cvo+CQ&#10;DNtzYX+mpn/5OFRv1WpfrrxSj/NltAbh6ebv4f92oRXE8Hcl3ACZ/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ILC5r4A&#10;AADa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3E5E6DDE">
                        <w:r>
                          <w:rPr>
                            <w:rFonts w:ascii="Cambria" w:hAnsi="Cambria" w:eastAsia="Cambria" w:cs="Cambria"/>
                            <w:b/>
                            <w:sz w:val="20"/>
                          </w:rPr>
                          <w:t xml:space="preserve"> </w:t>
                        </w:r>
                      </w:p>
                    </w:txbxContent>
                  </v:textbox>
                </v:rect>
                <v:shape id="_x0000_s1026" o:spid="_x0000_s1026" o:spt="75" type="#_x0000_t75" style="position:absolute;left:0;top:0;height:1313815;width:1517650;" filled="f" o:preferrelative="t" stroked="f" coordsize="21600,21600" o:gfxdata="UEsDBAoAAAAAAIdO4kAAAAAAAAAAAAAAAAAEAAAAZHJzL1BLAwQUAAAACACHTuJAVLRq2bkAAADb&#10;AAAADwAAAGRycy9kb3ducmV2LnhtbEWPSwvCMBCE74L/IazgTVNFRKrRg6IInnwdelubtS02m5LE&#10;1783guBxmJlvmNniZWrxIOcrywoG/QQEcW51xYWC03Hdm4DwAVljbZkUvMnDYt5uzTDV9sl7ehxC&#10;ISKEfYoKyhCaVEqfl2TQ921DHL2rdQZDlK6Q2uEzwk0th0kylgYrjgslNrQsKb8d7kZBdjmvnDy+&#10;q/o2kXqHu43O7hulup1BMgUR6BX+4V97qxWMRvD9En+AnH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S0atm5AAAA2wAA&#10;AA8AAAAAAAAAAQAgAAAAIgAAAGRycy9kb3ducmV2LnhtbFBLAQIUABQAAAAIAIdO4kAzLwWeOwAA&#10;ADkAAAAQAAAAAAAAAAEAIAAAAAgBAABkcnMvc2hhcGV4bWwueG1sUEsFBgAAAAAGAAYAWwEAALID&#10;AAAAAA==&#10;">
                  <v:fill on="f" focussize="0,0"/>
                  <v:stroke on="f"/>
                  <v:imagedata r:id="rId7" o:title=""/>
                  <o:lock v:ext="edit" aspectratio="f"/>
                </v:shape>
                <w10:wrap type="square"/>
              </v:group>
            </w:pict>
          </mc:Fallback>
        </mc:AlternateContent>
      </w:r>
      <w:r>
        <w:rPr>
          <w:rFonts w:ascii="Cambria" w:hAnsi="Cambria" w:eastAsia="Cambria" w:cs="Cambria"/>
          <w:b/>
          <w:sz w:val="20"/>
        </w:rPr>
        <w:t xml:space="preserve">International Gorilla Conservation Programme </w:t>
      </w:r>
    </w:p>
    <w:p w14:paraId="7260C51B">
      <w:pPr>
        <w:spacing w:after="0"/>
        <w:ind w:left="-6957" w:hanging="10"/>
        <w:jc w:val="center"/>
      </w:pPr>
      <w:r>
        <w:rPr>
          <w:rFonts w:ascii="Cambria" w:hAnsi="Cambria" w:eastAsia="Cambria" w:cs="Cambria"/>
          <w:sz w:val="20"/>
        </w:rPr>
        <w:t xml:space="preserve">                                                                                               KG 6 Av 16, Rugando, Kimihurura </w:t>
      </w:r>
    </w:p>
    <w:p w14:paraId="05768D81">
      <w:pPr>
        <w:spacing w:after="0"/>
        <w:ind w:left="-6957" w:hanging="10"/>
        <w:jc w:val="right"/>
      </w:pPr>
      <w:r>
        <w:rPr>
          <w:rFonts w:ascii="Cambria" w:hAnsi="Cambria" w:eastAsia="Cambria" w:cs="Cambria"/>
          <w:sz w:val="20"/>
        </w:rPr>
        <w:t xml:space="preserve">P.O. Box 931, Kigali, Rwanda </w:t>
      </w:r>
    </w:p>
    <w:p w14:paraId="301F4889">
      <w:pPr>
        <w:spacing w:after="0" w:line="227" w:lineRule="auto"/>
        <w:ind w:left="7200"/>
        <w:rPr>
          <w:rFonts w:ascii="Cambria" w:hAnsi="Cambria" w:eastAsia="Cambria" w:cs="Cambria"/>
          <w:sz w:val="20"/>
        </w:rPr>
      </w:pPr>
      <w:r>
        <w:rPr>
          <w:rFonts w:ascii="Cambria" w:hAnsi="Cambria" w:eastAsia="Cambria" w:cs="Cambria"/>
          <w:sz w:val="20"/>
        </w:rPr>
        <w:t xml:space="preserve">             Tele: +250 788 330 433 </w:t>
      </w:r>
    </w:p>
    <w:p w14:paraId="3B2E6BDD">
      <w:pPr>
        <w:spacing w:after="0" w:line="227" w:lineRule="auto"/>
        <w:ind w:left="7200" w:firstLine="720"/>
      </w:pPr>
      <w:r>
        <w:rPr>
          <w:rFonts w:ascii="Cambria" w:hAnsi="Cambria" w:eastAsia="Cambria" w:cs="Cambria"/>
          <w:sz w:val="20"/>
        </w:rPr>
        <w:t xml:space="preserve">Online: </w:t>
      </w:r>
      <w:r>
        <w:fldChar w:fldCharType="begin"/>
      </w:r>
      <w:r>
        <w:instrText xml:space="preserve"> HYPERLINK "http://www.igcp.org" </w:instrText>
      </w:r>
      <w:r>
        <w:fldChar w:fldCharType="separate"/>
      </w:r>
      <w:r>
        <w:rPr>
          <w:rStyle w:val="18"/>
          <w:rFonts w:ascii="Cambria" w:hAnsi="Cambria" w:eastAsia="Cambria" w:cs="Cambria"/>
          <w:sz w:val="20"/>
        </w:rPr>
        <w:t>www.igcp.org</w:t>
      </w:r>
      <w:r>
        <w:rPr>
          <w:rStyle w:val="18"/>
          <w:rFonts w:ascii="Cambria" w:hAnsi="Cambria" w:eastAsia="Cambria" w:cs="Cambria"/>
          <w:sz w:val="20"/>
        </w:rPr>
        <w:fldChar w:fldCharType="end"/>
      </w:r>
      <w:r>
        <w:rPr>
          <w:rFonts w:ascii="Cambria" w:hAnsi="Cambria" w:eastAsia="Cambria" w:cs="Cambria"/>
          <w:sz w:val="20"/>
        </w:rPr>
        <w:t xml:space="preserve">  </w:t>
      </w:r>
    </w:p>
    <w:p w14:paraId="2728121D">
      <w:pPr>
        <w:jc w:val="center"/>
        <w:rPr>
          <w:rFonts w:ascii="Arial" w:hAnsi="Arial" w:eastAsia="Arial" w:cs="Arial"/>
          <w:b/>
        </w:rPr>
      </w:pPr>
    </w:p>
    <w:p w14:paraId="3C49A6EE">
      <w:pPr>
        <w:jc w:val="center"/>
        <w:rPr>
          <w:rFonts w:ascii="Arial" w:hAnsi="Arial" w:eastAsia="Arial" w:cs="Arial"/>
          <w:b/>
        </w:rPr>
      </w:pPr>
    </w:p>
    <w:p w14:paraId="3549C5D7">
      <w:pPr>
        <w:rPr>
          <w:rFonts w:ascii="Arial" w:hAnsi="Arial" w:eastAsia="Arial" w:cs="Arial"/>
          <w:b/>
        </w:rPr>
      </w:pPr>
    </w:p>
    <w:p w14:paraId="00000001">
      <w:pPr>
        <w:jc w:val="center"/>
        <w:rPr>
          <w:rFonts w:ascii="Arial" w:hAnsi="Arial" w:eastAsia="Arial" w:cs="Arial"/>
          <w:b/>
        </w:rPr>
      </w:pPr>
      <w:r>
        <w:rPr>
          <w:rFonts w:ascii="Arial" w:hAnsi="Arial" w:eastAsia="Arial" w:cs="Arial"/>
          <w:b/>
        </w:rPr>
        <w:t>CONSULTANCY OPPORTUNITY - DEVELOPMENT OF THE INTERNATIONAL GORILLA CONSERVATION PROGRAMME (IGCP) STRATEGIC PLAN 2025-2030 AND DETERMINATION OF IGCP’S NICHE.</w:t>
      </w:r>
      <w:bookmarkStart w:id="0" w:name="_GoBack"/>
      <w:bookmarkEnd w:id="0"/>
    </w:p>
    <w:p w14:paraId="00000003">
      <w:pPr>
        <w:numPr>
          <w:ilvl w:val="0"/>
          <w:numId w:val="1"/>
        </w:numPr>
        <w:pBdr>
          <w:top w:val="none" w:color="auto" w:sz="0" w:space="0"/>
          <w:left w:val="none" w:color="auto" w:sz="0" w:space="0"/>
          <w:bottom w:val="none" w:color="auto" w:sz="0" w:space="0"/>
          <w:right w:val="none" w:color="auto" w:sz="0" w:space="0"/>
          <w:between w:val="none" w:color="auto" w:sz="0" w:space="0"/>
        </w:pBdr>
        <w:jc w:val="both"/>
        <w:rPr>
          <w:rFonts w:ascii="Helvetica Neue" w:hAnsi="Helvetica Neue" w:eastAsia="Helvetica Neue" w:cs="Helvetica Neue"/>
          <w:b/>
          <w:color w:val="000000"/>
          <w:sz w:val="20"/>
          <w:szCs w:val="20"/>
        </w:rPr>
      </w:pPr>
      <w:r>
        <w:rPr>
          <w:rFonts w:ascii="Helvetica Neue" w:hAnsi="Helvetica Neue" w:eastAsia="Helvetica Neue" w:cs="Helvetica Neue"/>
          <w:b/>
          <w:color w:val="000000"/>
          <w:sz w:val="20"/>
          <w:szCs w:val="20"/>
        </w:rPr>
        <w:t>Programme Overview</w:t>
      </w:r>
    </w:p>
    <w:p w14:paraId="00000004">
      <w:pPr>
        <w:jc w:val="both"/>
      </w:pPr>
      <w:r>
        <w:t>The International Gorilla Conservation Programme (IGCP) is a coalition of three international conservation organizations Conservation International (CI), Fauna &amp; Flora (FF) and World Wildlife Fund (WWF). IGCP was formed in 1991 to address the long-term conservation of the mountain gorilla (</w:t>
      </w:r>
      <w:r>
        <w:rPr>
          <w:i/>
        </w:rPr>
        <w:t>Gorilla beringei beringei</w:t>
      </w:r>
      <w:r>
        <w:t>) and its regional Afromontane Forest habitat in the Virunga Bwindi Landscape. The aim was to work together as a single gorilla conservation programme in order to expand and consolidate the successes of the Mountain Gorilla Project and other initiatives at a regional level.</w:t>
      </w:r>
    </w:p>
    <w:p w14:paraId="00000005">
      <w:pPr>
        <w:jc w:val="both"/>
      </w:pPr>
      <w:r>
        <w:t>The programme operates in the three countries that share the habitat of the mountain gorillas; Democratic Republic of Congo (DRC), Rwanda and Uganda, and works in close partnership with the Protected Area Authorities of the three countries (Institut Congolais pour la Conservation de la Nature, ICCN in DRC; Rwanda Development Board, RDB in Rwanda; and Uganda Wildlife Authority, UWA in Uganda) and the umbrella mechanism for transboundary collaboration through the Greater Virunga Transboundary Collaboration (GVTC).</w:t>
      </w:r>
    </w:p>
    <w:p w14:paraId="00000006">
      <w:pPr>
        <w:numPr>
          <w:ilvl w:val="0"/>
          <w:numId w:val="1"/>
        </w:numPr>
        <w:pBdr>
          <w:top w:val="none" w:color="auto" w:sz="0" w:space="0"/>
          <w:left w:val="none" w:color="auto" w:sz="0" w:space="0"/>
          <w:bottom w:val="none" w:color="auto" w:sz="0" w:space="0"/>
          <w:right w:val="none" w:color="auto" w:sz="0" w:space="0"/>
          <w:between w:val="none" w:color="auto" w:sz="0" w:space="0"/>
        </w:pBdr>
        <w:jc w:val="both"/>
        <w:rPr>
          <w:b/>
          <w:color w:val="000000"/>
        </w:rPr>
      </w:pPr>
      <w:r>
        <w:rPr>
          <w:b/>
          <w:color w:val="000000"/>
        </w:rPr>
        <w:t>Background:</w:t>
      </w:r>
    </w:p>
    <w:p w14:paraId="00000007">
      <w:pPr>
        <w:jc w:val="both"/>
        <w:rPr>
          <w:b/>
        </w:rPr>
      </w:pPr>
      <w:r>
        <w:t>The International Gorilla Conservation Programme (IGCP) has played a pivotal role in conserving mountain gorillas and their habitats since its inception. As the conservation landscape evolves—marked by habitat loss, climate change, socio-economic pressures—IGCP recognizes the need for a comprehensive strategic plan to guide its efforts from 2025 to 2030.</w:t>
      </w:r>
    </w:p>
    <w:p w14:paraId="00000008">
      <w:pPr>
        <w:jc w:val="both"/>
      </w:pPr>
      <w:r>
        <w:t>IGCP is now incorporated as an independent legal entity in Kenya, with operational branches in the Democratic Republic of Congo (DRC), Rwanda, and Uganda in the process of being registered.</w:t>
      </w:r>
      <w:sdt>
        <w:sdtPr>
          <w:tag w:val="goog_rdk_0"/>
          <w:id w:val="-466352562"/>
        </w:sdtPr>
        <w:sdtContent>
          <w:r>
            <w:t xml:space="preserve"> This transition represents an important development in IGCP’s organizational growth, improving sustainability and setting the organization on a pathway to greater independence. </w:t>
          </w:r>
        </w:sdtContent>
      </w:sdt>
      <w:sdt>
        <w:sdtPr>
          <w:tag w:val="goog_rdk_1"/>
          <w:id w:val="733733688"/>
          <w:showingPlcHdr/>
        </w:sdtPr>
        <w:sdtContent>
          <w:r>
            <w:t xml:space="preserve">     </w:t>
          </w:r>
        </w:sdtContent>
      </w:sdt>
      <w:r>
        <w:t>The new strategic plan will also guide the</w:t>
      </w:r>
      <w:sdt>
        <w:sdtPr>
          <w:tag w:val="goog_rdk_2"/>
          <w:id w:val="1417279008"/>
        </w:sdtPr>
        <w:sdtContent>
          <w:r>
            <w:t xml:space="preserve"> ongoing</w:t>
          </w:r>
        </w:sdtContent>
      </w:sdt>
      <w:r>
        <w:t xml:space="preserve"> </w:t>
      </w:r>
      <w:sdt>
        <w:sdtPr>
          <w:tag w:val="goog_rdk_3"/>
          <w:id w:val="-1756274447"/>
        </w:sdtPr>
        <w:sdtContent>
          <w:r>
            <w:t xml:space="preserve">transition </w:t>
          </w:r>
        </w:sdtContent>
      </w:sdt>
      <w:r>
        <w:t xml:space="preserve">of the International Gorilla Conservation Programme (IGCP) </w:t>
      </w:r>
      <w:sdt>
        <w:sdtPr>
          <w:tag w:val="goog_rdk_6"/>
          <w:id w:val="-1050689130"/>
        </w:sdtPr>
        <w:sdtContent>
          <w:r>
            <w:t>over</w:t>
          </w:r>
        </w:sdtContent>
      </w:sdt>
      <w:sdt>
        <w:sdtPr>
          <w:tag w:val="goog_rdk_7"/>
          <w:id w:val="-1533107614"/>
        </w:sdtPr>
        <w:sdtContent>
          <w:sdt>
            <w:sdtPr>
              <w:tag w:val="goog_rdk_8"/>
              <w:id w:val="79876875"/>
            </w:sdtPr>
            <w:sdtContent/>
          </w:sdt>
        </w:sdtContent>
      </w:sdt>
      <w:r>
        <w:t xml:space="preserve"> the same period</w:t>
      </w:r>
      <w:sdt>
        <w:sdtPr>
          <w:tag w:val="goog_rdk_10"/>
          <w:id w:val="-1666779642"/>
        </w:sdtPr>
        <w:sdtContent>
          <w:r>
            <w:t xml:space="preserve"> (2025 to 2030)</w:t>
          </w:r>
        </w:sdtContent>
      </w:sdt>
      <w:r>
        <w:t>.</w:t>
      </w:r>
    </w:p>
    <w:p w14:paraId="00000009">
      <w:pPr>
        <w:jc w:val="both"/>
      </w:pPr>
      <w:r>
        <w:t>IGCP's current strategic framework has enabled significant conservation gains, including population growth of mountain gorillas and enhanced transboundary collaboration. However, emerging challenges require a reassessment of priorities and approaches to ensure continued effectiveness in the changing conservation landscape.</w:t>
      </w:r>
    </w:p>
    <w:p w14:paraId="0000000A">
      <w:pPr>
        <w:numPr>
          <w:ilvl w:val="0"/>
          <w:numId w:val="1"/>
        </w:numPr>
        <w:pBdr>
          <w:top w:val="none" w:color="auto" w:sz="0" w:space="0"/>
          <w:left w:val="none" w:color="auto" w:sz="0" w:space="0"/>
          <w:bottom w:val="none" w:color="auto" w:sz="0" w:space="0"/>
          <w:right w:val="none" w:color="auto" w:sz="0" w:space="0"/>
          <w:between w:val="none" w:color="auto" w:sz="0" w:space="0"/>
        </w:pBdr>
        <w:jc w:val="both"/>
        <w:rPr>
          <w:b/>
          <w:color w:val="000000"/>
        </w:rPr>
      </w:pPr>
      <w:r>
        <w:rPr>
          <w:b/>
          <w:color w:val="000000"/>
        </w:rPr>
        <w:t>Purpose:</w:t>
      </w:r>
    </w:p>
    <w:p w14:paraId="0000000B">
      <w:pPr>
        <w:jc w:val="both"/>
      </w:pPr>
      <w:r>
        <w:t xml:space="preserve">The primary purpose of this consultancy is to </w:t>
      </w:r>
      <w:sdt>
        <w:sdtPr>
          <w:tag w:val="goog_rdk_11"/>
          <w:id w:val="-1467656614"/>
        </w:sdtPr>
        <w:sdtContent>
          <w:r>
            <w:t xml:space="preserve">build on the IGCP strategic plan (2020-2025) and the key lessons learnt during its delivery and facilitate the </w:t>
          </w:r>
        </w:sdtContent>
      </w:sdt>
      <w:r>
        <w:t>develop</w:t>
      </w:r>
      <w:sdt>
        <w:sdtPr>
          <w:tag w:val="goog_rdk_12"/>
          <w:id w:val="538482339"/>
        </w:sdtPr>
        <w:sdtContent>
          <w:r>
            <w:t xml:space="preserve">ment of </w:t>
          </w:r>
        </w:sdtContent>
      </w:sdt>
      <w:r>
        <w:t>a clear, actionable, and forward-looking strategic plan for IGCP covering 2025-2030. The plan will align with IGCP's vision and mission, address current and emerging conservation challenges, and clearly define IGCP's niche within the broader conservation landscape. It will set strategic priorities, establish measurable objectives, and outline strategies to maximize conservation impact.</w:t>
      </w:r>
    </w:p>
    <w:p w14:paraId="16E2E3E0">
      <w:pPr>
        <w:jc w:val="both"/>
      </w:pPr>
    </w:p>
    <w:p w14:paraId="0000000C">
      <w:pPr>
        <w:numPr>
          <w:ilvl w:val="0"/>
          <w:numId w:val="1"/>
        </w:numPr>
        <w:pBdr>
          <w:top w:val="none" w:color="auto" w:sz="0" w:space="0"/>
          <w:left w:val="none" w:color="auto" w:sz="0" w:space="0"/>
          <w:bottom w:val="none" w:color="auto" w:sz="0" w:space="0"/>
          <w:right w:val="none" w:color="auto" w:sz="0" w:space="0"/>
          <w:between w:val="none" w:color="auto" w:sz="0" w:space="0"/>
        </w:pBdr>
        <w:jc w:val="both"/>
      </w:pPr>
      <w:sdt>
        <w:sdtPr>
          <w:tag w:val="goog_rdk_14"/>
          <w:id w:val="1465009995"/>
        </w:sdtPr>
        <w:sdtContent/>
      </w:sdt>
      <w:r>
        <w:rPr>
          <w:b/>
          <w:color w:val="000000"/>
        </w:rPr>
        <w:t>Objectives:</w:t>
      </w:r>
    </w:p>
    <w:sdt>
      <w:sdtPr>
        <w:tag w:val="goog_rdk_17"/>
        <w:id w:val="-145665270"/>
      </w:sdtPr>
      <w:sdtContent>
        <w:p w14:paraId="0000000D">
          <w:pPr>
            <w:rPr>
              <w:color w:val="000000"/>
            </w:rPr>
          </w:pPr>
          <w:sdt>
            <w:sdtPr>
              <w:tag w:val="goog_rdk_16"/>
              <w:id w:val="1264272537"/>
            </w:sdtPr>
            <w:sdtContent>
              <w:r>
                <w:rPr>
                  <w:color w:val="000000"/>
                </w:rPr>
                <w:t xml:space="preserve">Having reviewed and taken note of the current IGCP strategy (2020-2025) the consultancy will work with IGCP and others to: </w:t>
              </w:r>
            </w:sdtContent>
          </w:sdt>
        </w:p>
      </w:sdtContent>
    </w:sdt>
    <w:p w14:paraId="0000000F">
      <w:pPr>
        <w:numPr>
          <w:ilvl w:val="0"/>
          <w:numId w:val="2"/>
        </w:numPr>
        <w:spacing w:after="120" w:line="276" w:lineRule="auto"/>
        <w:jc w:val="both"/>
      </w:pPr>
      <w:r>
        <w:t xml:space="preserve">Undertake comprehensive review of existing literature/ documents to assess the current status of Gorillas, identify threats, opportunities and gaps. </w:t>
      </w:r>
    </w:p>
    <w:p w14:paraId="7802E802">
      <w:pPr>
        <w:pStyle w:val="35"/>
        <w:numPr>
          <w:ilvl w:val="0"/>
          <w:numId w:val="2"/>
        </w:numPr>
        <w:jc w:val="both"/>
      </w:pPr>
      <w:sdt>
        <w:sdtPr>
          <w:tag w:val="goog_rdk_28"/>
          <w:id w:val="-163703473"/>
        </w:sdtPr>
        <w:sdtContent>
          <w:r>
            <w:t xml:space="preserve">Review and revise the </w:t>
          </w:r>
        </w:sdtContent>
      </w:sdt>
      <w:sdt>
        <w:sdtPr>
          <w:tag w:val="goog_rdk_29"/>
          <w:id w:val="-2014829604"/>
        </w:sdtPr>
        <w:sdtContent>
          <w:sdt>
            <w:sdtPr>
              <w:tag w:val="goog_rdk_30"/>
              <w:id w:val="-833692838"/>
            </w:sdtPr>
            <w:sdtContent/>
          </w:sdt>
        </w:sdtContent>
      </w:sdt>
      <w:r>
        <w:t>Theory of Change/Result chain to identify path</w:t>
      </w:r>
      <w:sdt>
        <w:sdtPr>
          <w:tag w:val="goog_rdk_31"/>
          <w:id w:val="-1032879564"/>
          <w:showingPlcHdr/>
        </w:sdtPr>
        <w:sdtContent>
          <w:r>
            <w:t xml:space="preserve">     </w:t>
          </w:r>
        </w:sdtContent>
      </w:sdt>
      <w:r>
        <w:t>ways that will articulate how IGCP’s initiatives will lead to desired outcomes.</w:t>
      </w:r>
      <w:sdt>
        <w:sdtPr>
          <w:tag w:val="goog_rdk_32"/>
          <w:id w:val="1498773112"/>
        </w:sdtPr>
        <w:sdtContent>
          <w:r>
            <w:t xml:space="preserve"> </w:t>
          </w:r>
        </w:sdtContent>
      </w:sdt>
      <w:sdt>
        <w:sdtPr>
          <w:tag w:val="goog_rdk_33"/>
          <w:id w:val="23606429"/>
        </w:sdtPr>
        <w:sdtContent>
          <w:sdt>
            <w:sdtPr>
              <w:tag w:val="goog_rdk_34"/>
              <w:id w:val="635684036"/>
            </w:sdtPr>
            <w:sdtContent>
              <w:r>
                <w:t xml:space="preserve">Within the Theory of Change, ensure clarity on those interventions that address the </w:t>
              </w:r>
            </w:sdtContent>
          </w:sdt>
        </w:sdtContent>
      </w:sdt>
      <w:r>
        <w:t xml:space="preserve"> </w:t>
      </w:r>
      <w:sdt>
        <w:sdtPr>
          <w:tag w:val="goog_rdk_38"/>
          <w:id w:val="86811752"/>
        </w:sdtPr>
        <w:sdtContent>
          <w:r>
            <w:t>key immediate threats (“Sustaining Work Packages”) and those interventions addressing the key underlying or systemic drivers (</w:t>
          </w:r>
        </w:sdtContent>
      </w:sdt>
      <w:sdt>
        <w:sdtPr>
          <w:tag w:val="goog_rdk_39"/>
          <w:id w:val="-2010513235"/>
        </w:sdtPr>
        <w:sdtContent>
          <w:r>
            <w:t>"Transformative Work Packages")</w:t>
          </w:r>
        </w:sdtContent>
      </w:sdt>
    </w:p>
    <w:p w14:paraId="00000012">
      <w:pPr>
        <w:numPr>
          <w:ilvl w:val="0"/>
          <w:numId w:val="2"/>
        </w:numPr>
        <w:spacing w:after="120" w:line="276" w:lineRule="auto"/>
        <w:jc w:val="both"/>
      </w:pPr>
      <w:sdt>
        <w:sdtPr>
          <w:tag w:val="goog_rdk_23"/>
          <w:id w:val="-1574121233"/>
        </w:sdtPr>
        <w:sdtContent/>
      </w:sdt>
      <w:sdt>
        <w:sdtPr>
          <w:tag w:val="goog_rdk_44"/>
          <w:id w:val="1345137374"/>
        </w:sdtPr>
        <w:sdtContent>
          <w:r>
            <w:t>Conduct an overarching stakeholder analysis and f</w:t>
          </w:r>
        </w:sdtContent>
      </w:sdt>
      <w:r>
        <w:t>acilitate an inclusive stakeholder engagement process involving local communities, governments, NGOs, academic institutions, and other relevant actors.</w:t>
      </w:r>
    </w:p>
    <w:p w14:paraId="00000013">
      <w:pPr>
        <w:numPr>
          <w:ilvl w:val="0"/>
          <w:numId w:val="2"/>
        </w:numPr>
        <w:spacing w:after="120" w:line="276" w:lineRule="auto"/>
        <w:jc w:val="both"/>
      </w:pPr>
      <w:r>
        <w:t>Confirm and refine IGCP's vision and mission statements to reflect current realities and future aspirations.</w:t>
      </w:r>
    </w:p>
    <w:p w14:paraId="00000014">
      <w:pPr>
        <w:numPr>
          <w:ilvl w:val="0"/>
          <w:numId w:val="2"/>
        </w:numPr>
        <w:spacing w:after="120" w:line="276" w:lineRule="auto"/>
        <w:jc w:val="both"/>
      </w:pPr>
      <w:r>
        <w:t>Define clear, measurable goals and objectives for IGCP's conservation activities from 2025 to 2030.</w:t>
      </w:r>
    </w:p>
    <w:p w14:paraId="00000015">
      <w:pPr>
        <w:numPr>
          <w:ilvl w:val="0"/>
          <w:numId w:val="2"/>
        </w:numPr>
        <w:spacing w:after="120" w:line="276" w:lineRule="auto"/>
        <w:jc w:val="both"/>
      </w:pPr>
      <w:r>
        <w:t xml:space="preserve">Determine </w:t>
      </w:r>
      <w:sdt>
        <w:sdtPr>
          <w:tag w:val="goog_rdk_45"/>
          <w:id w:val="-878707128"/>
        </w:sdtPr>
        <w:sdtContent>
          <w:r>
            <w:t xml:space="preserve">and clearly articulate </w:t>
          </w:r>
        </w:sdtContent>
      </w:sdt>
      <w:r>
        <w:t>IGCP's niche—what unique value and role IGCP will focus on within the conservation sector.</w:t>
      </w:r>
    </w:p>
    <w:p w14:paraId="00000016">
      <w:pPr>
        <w:numPr>
          <w:ilvl w:val="0"/>
          <w:numId w:val="2"/>
        </w:numPr>
        <w:spacing w:after="120" w:line="276" w:lineRule="auto"/>
        <w:jc w:val="both"/>
      </w:pPr>
      <w:sdt>
        <w:sdtPr>
          <w:tag w:val="goog_rdk_46"/>
          <w:id w:val="1956284201"/>
        </w:sdtPr>
        <w:sdtContent/>
      </w:sdt>
      <w:sdt>
        <w:sdtPr>
          <w:tag w:val="goog_rdk_47"/>
          <w:id w:val="2121411696"/>
        </w:sdtPr>
        <w:sdtContent/>
      </w:sdt>
      <w:r>
        <w:t>Develop a monitoring and evaluation (M&amp;E) framework to track progress, evaluate impact, and support adaptive management.</w:t>
      </w:r>
    </w:p>
    <w:sdt>
      <w:sdtPr>
        <w:tag w:val="goog_rdk_50"/>
        <w:id w:val="-1959250043"/>
      </w:sdtPr>
      <w:sdtContent>
        <w:p w14:paraId="00000017">
          <w:pPr>
            <w:numPr>
              <w:ilvl w:val="0"/>
              <w:numId w:val="2"/>
            </w:numPr>
            <w:spacing w:after="120" w:line="276" w:lineRule="auto"/>
            <w:jc w:val="both"/>
          </w:pPr>
          <w:sdt>
            <w:sdtPr>
              <w:tag w:val="goog_rdk_49"/>
              <w:id w:val="400413050"/>
            </w:sdtPr>
            <w:sdtContent>
              <w:r>
                <w:t xml:space="preserve">Identify key risks to IGCP and the proposed initiatives / activities + proposed mitigations; </w:t>
              </w:r>
            </w:sdtContent>
          </w:sdt>
        </w:p>
      </w:sdtContent>
    </w:sdt>
    <w:p w14:paraId="00000018">
      <w:pPr>
        <w:numPr>
          <w:ilvl w:val="0"/>
          <w:numId w:val="2"/>
        </w:numPr>
        <w:spacing w:after="120" w:line="276" w:lineRule="auto"/>
        <w:jc w:val="both"/>
      </w:pPr>
      <w:sdt>
        <w:sdtPr>
          <w:tag w:val="goog_rdk_51"/>
          <w:id w:val="701370322"/>
        </w:sdtPr>
        <w:sdtContent>
          <w:r>
            <w:t>Outline the pathways what can IGCP engage to become an increasingly sustainable organisation</w:t>
          </w:r>
        </w:sdtContent>
      </w:sdt>
    </w:p>
    <w:p w14:paraId="00000019">
      <w:pPr>
        <w:numPr>
          <w:ilvl w:val="0"/>
          <w:numId w:val="2"/>
        </w:numPr>
        <w:spacing w:after="120" w:line="276" w:lineRule="auto"/>
        <w:jc w:val="both"/>
      </w:pPr>
      <w:sdt>
        <w:sdtPr>
          <w:tag w:val="goog_rdk_53"/>
          <w:id w:val="200911901"/>
        </w:sdtPr>
        <w:sdtContent>
          <w:r>
            <w:t xml:space="preserve">Budget: Elaborate an indicative budget for delivering the strategy  </w:t>
          </w:r>
        </w:sdtContent>
      </w:sdt>
    </w:p>
    <w:p w14:paraId="0000001A">
      <w:pPr>
        <w:numPr>
          <w:ilvl w:val="0"/>
          <w:numId w:val="2"/>
        </w:numPr>
        <w:spacing w:after="120" w:line="276" w:lineRule="auto"/>
        <w:jc w:val="both"/>
      </w:pPr>
      <w:sdt>
        <w:sdtPr>
          <w:tag w:val="goog_rdk_55"/>
          <w:id w:val="-1345239225"/>
        </w:sdtPr>
        <w:sdtContent>
          <w:r>
            <w:t>Outline the IGCP approach to Environmental and Social Safeguarding</w:t>
          </w:r>
        </w:sdtContent>
      </w:sdt>
    </w:p>
    <w:p w14:paraId="0000001B">
      <w:pPr>
        <w:numPr>
          <w:ilvl w:val="0"/>
          <w:numId w:val="1"/>
        </w:numPr>
        <w:pBdr>
          <w:top w:val="none" w:color="auto" w:sz="0" w:space="0"/>
          <w:left w:val="none" w:color="auto" w:sz="0" w:space="0"/>
          <w:bottom w:val="none" w:color="auto" w:sz="0" w:space="0"/>
          <w:right w:val="none" w:color="auto" w:sz="0" w:space="0"/>
          <w:between w:val="none" w:color="auto" w:sz="0" w:space="0"/>
        </w:pBdr>
        <w:jc w:val="both"/>
        <w:rPr>
          <w:b/>
          <w:color w:val="000000"/>
        </w:rPr>
      </w:pPr>
      <w:r>
        <w:rPr>
          <w:b/>
          <w:color w:val="000000"/>
        </w:rPr>
        <w:t xml:space="preserve">Scope of </w:t>
      </w:r>
      <w:sdt>
        <w:sdtPr>
          <w:tag w:val="goog_rdk_56"/>
          <w:id w:val="-1174645975"/>
        </w:sdtPr>
        <w:sdtContent/>
      </w:sdt>
      <w:r>
        <w:rPr>
          <w:b/>
          <w:color w:val="000000"/>
        </w:rPr>
        <w:t>Work:</w:t>
      </w:r>
    </w:p>
    <w:p w14:paraId="0000001C">
      <w:pPr>
        <w:jc w:val="both"/>
      </w:pPr>
      <w:sdt>
        <w:sdtPr>
          <w:tag w:val="goog_rdk_57"/>
          <w:id w:val="944046522"/>
        </w:sdtPr>
        <w:sdtContent/>
      </w:sdt>
      <w:sdt>
        <w:sdtPr>
          <w:tag w:val="goog_rdk_58"/>
          <w:id w:val="-2105803766"/>
        </w:sdtPr>
        <w:sdtContent/>
      </w:sdt>
      <w:sdt>
        <w:sdtPr>
          <w:tag w:val="goog_rdk_59"/>
          <w:id w:val="1782760176"/>
        </w:sdtPr>
        <w:sdtContent/>
      </w:sdt>
      <w:r>
        <w:t>The selected consultant or team will undertake the following activities:</w:t>
      </w:r>
    </w:p>
    <w:p w14:paraId="0000001D">
      <w:pPr>
        <w:numPr>
          <w:ilvl w:val="1"/>
          <w:numId w:val="3"/>
        </w:numPr>
        <w:pBdr>
          <w:top w:val="none" w:color="auto" w:sz="0" w:space="0"/>
          <w:left w:val="none" w:color="auto" w:sz="0" w:space="0"/>
          <w:bottom w:val="none" w:color="auto" w:sz="0" w:space="0"/>
          <w:right w:val="none" w:color="auto" w:sz="0" w:space="0"/>
          <w:between w:val="none" w:color="auto" w:sz="0" w:space="0"/>
        </w:pBdr>
        <w:ind w:left="720"/>
        <w:jc w:val="both"/>
        <w:rPr>
          <w:b/>
          <w:color w:val="000000"/>
        </w:rPr>
      </w:pPr>
      <w:r>
        <w:rPr>
          <w:b/>
          <w:color w:val="000000"/>
        </w:rPr>
        <w:t>Situation Analysis</w:t>
      </w:r>
    </w:p>
    <w:p w14:paraId="53345632">
      <w:pPr>
        <w:jc w:val="both"/>
      </w:pPr>
      <w:r>
        <w:t xml:space="preserve">The consultant will </w:t>
      </w:r>
      <w:sdt>
        <w:sdtPr>
          <w:tag w:val="goog_rdk_60"/>
          <w:id w:val="-547146371"/>
        </w:sdtPr>
        <w:sdtContent>
          <w:r>
            <w:t xml:space="preserve">facilitate </w:t>
          </w:r>
        </w:sdtContent>
      </w:sdt>
      <w:r>
        <w:t>a SWOT (Strengths, Weaknesses, Opportunities, Threats) analysis of IGCP's current position and the broader conservation context. This will include reviewing existing data, reports, and relevant literature on mountain gorilla conservation, threats, and opportunities. The consultant will also analyze the effectiveness and lessons learned including evaluation recommendations from IGCP's current strategic framework to provide a solid foundation for the new strategy.</w:t>
      </w:r>
    </w:p>
    <w:p w14:paraId="0000001F">
      <w:pPr>
        <w:numPr>
          <w:ilvl w:val="0"/>
          <w:numId w:val="3"/>
        </w:numPr>
        <w:pBdr>
          <w:top w:val="none" w:color="auto" w:sz="0" w:space="0"/>
          <w:left w:val="none" w:color="auto" w:sz="0" w:space="0"/>
          <w:bottom w:val="none" w:color="auto" w:sz="0" w:space="0"/>
          <w:right w:val="none" w:color="auto" w:sz="0" w:space="0"/>
          <w:between w:val="none" w:color="auto" w:sz="0" w:space="0"/>
        </w:pBdr>
        <w:jc w:val="both"/>
        <w:rPr>
          <w:b/>
          <w:color w:val="000000"/>
        </w:rPr>
      </w:pPr>
      <w:r>
        <w:rPr>
          <w:b/>
          <w:color w:val="000000"/>
        </w:rPr>
        <w:t>Theory of Change</w:t>
      </w:r>
    </w:p>
    <w:p w14:paraId="00000020">
      <w:pPr>
        <w:jc w:val="both"/>
      </w:pPr>
      <w:r>
        <w:t xml:space="preserve">The consultant will facilitate </w:t>
      </w:r>
      <w:sdt>
        <w:sdtPr>
          <w:tag w:val="goog_rdk_62"/>
          <w:id w:val="-1660762043"/>
        </w:sdtPr>
        <w:sdtContent>
          <w:r>
            <w:t>a</w:t>
          </w:r>
        </w:sdtContent>
      </w:sdt>
      <w:sdt>
        <w:sdtPr>
          <w:tag w:val="goog_rdk_63"/>
          <w:id w:val="1453049646"/>
          <w:showingPlcHdr/>
        </w:sdtPr>
        <w:sdtContent>
          <w:r>
            <w:t xml:space="preserve">     </w:t>
          </w:r>
        </w:sdtContent>
      </w:sdt>
      <w:sdt>
        <w:sdtPr>
          <w:tag w:val="goog_rdk_64"/>
          <w:id w:val="-1884542138"/>
        </w:sdtPr>
        <w:sdtContent>
          <w:r>
            <w:t xml:space="preserve">review </w:t>
          </w:r>
        </w:sdtContent>
      </w:sdt>
      <w:sdt>
        <w:sdtPr>
          <w:tag w:val="goog_rdk_65"/>
          <w:id w:val="1883057654"/>
          <w:showingPlcHdr/>
        </w:sdtPr>
        <w:sdtContent>
          <w:r>
            <w:t xml:space="preserve">     </w:t>
          </w:r>
        </w:sdtContent>
      </w:sdt>
      <w:r>
        <w:t>of the</w:t>
      </w:r>
      <w:sdt>
        <w:sdtPr>
          <w:tag w:val="goog_rdk_66"/>
          <w:id w:val="-1879772267"/>
        </w:sdtPr>
        <w:sdtContent>
          <w:r>
            <w:t xml:space="preserve"> current</w:t>
          </w:r>
        </w:sdtContent>
      </w:sdt>
      <w:r>
        <w:t xml:space="preserve"> Theory of Change</w:t>
      </w:r>
      <w:sdt>
        <w:sdtPr>
          <w:tag w:val="goog_rdk_67"/>
          <w:id w:val="297738152"/>
        </w:sdtPr>
        <w:sdtContent>
          <w:r>
            <w:t xml:space="preserve">, and where necessary, update the content to </w:t>
          </w:r>
        </w:sdtContent>
      </w:sdt>
      <w:r>
        <w:t>enable IGCP to clarify its goals, stakeholders’ engagement, foc</w:t>
      </w:r>
      <w:sdt>
        <w:sdtPr>
          <w:tag w:val="goog_rdk_69"/>
          <w:id w:val="203599282"/>
        </w:sdtPr>
        <w:sdtContent>
          <w:r>
            <w:t>al</w:t>
          </w:r>
        </w:sdtContent>
      </w:sdt>
      <w:r>
        <w:t xml:space="preserve"> outcomes, and establish a framework for monitoring and evaluating its efforts. The</w:t>
      </w:r>
      <w:sdt>
        <w:sdtPr>
          <w:tag w:val="goog_rdk_71"/>
          <w:id w:val="-1431582024"/>
        </w:sdtPr>
        <w:sdtContent>
          <w:r>
            <w:t xml:space="preserve"> updated</w:t>
          </w:r>
        </w:sdtContent>
      </w:sdt>
      <w:r>
        <w:t xml:space="preserve"> ToC should support IGCP to enhance its effectiveness, drive meaningful change, and ensure that resources are utilized in ways that lead to sustainable impact.</w:t>
      </w:r>
    </w:p>
    <w:p w14:paraId="00000021">
      <w:pPr>
        <w:numPr>
          <w:ilvl w:val="0"/>
          <w:numId w:val="3"/>
        </w:numPr>
        <w:pBdr>
          <w:top w:val="none" w:color="auto" w:sz="0" w:space="0"/>
          <w:left w:val="none" w:color="auto" w:sz="0" w:space="0"/>
          <w:bottom w:val="none" w:color="auto" w:sz="0" w:space="0"/>
          <w:right w:val="none" w:color="auto" w:sz="0" w:space="0"/>
          <w:between w:val="none" w:color="auto" w:sz="0" w:space="0"/>
        </w:pBdr>
        <w:rPr>
          <w:b/>
          <w:color w:val="000000"/>
        </w:rPr>
      </w:pPr>
      <w:r>
        <w:rPr>
          <w:b/>
          <w:color w:val="000000"/>
        </w:rPr>
        <w:t>Stakeholder Engagement</w:t>
      </w:r>
    </w:p>
    <w:p w14:paraId="00000022">
      <w:pPr>
        <w:jc w:val="both"/>
      </w:pPr>
      <w:r>
        <w:t>The consultant will facilitate consultations with key stakeholders, including local communities, government agencies, NGOs, academic institutions, and donors. This process should gather diverse perspectives to inform strategic priorities and build consensus. Key stakeholders to be consulted include (but are not limited to): Protected area authorities in DRC, Rwanda, and Uganda; local community representatives from gorilla range areas; conservation NGOs operating in the region; academic and research institutions; government ministries responsible for wildlife and tourism; and current and potential donors.</w:t>
      </w:r>
    </w:p>
    <w:p w14:paraId="00000023">
      <w:pPr>
        <w:numPr>
          <w:ilvl w:val="0"/>
          <w:numId w:val="3"/>
        </w:numPr>
        <w:pBdr>
          <w:top w:val="none" w:color="auto" w:sz="0" w:space="0"/>
          <w:left w:val="none" w:color="auto" w:sz="0" w:space="0"/>
          <w:bottom w:val="none" w:color="auto" w:sz="0" w:space="0"/>
          <w:right w:val="none" w:color="auto" w:sz="0" w:space="0"/>
          <w:between w:val="none" w:color="auto" w:sz="0" w:space="0"/>
        </w:pBdr>
        <w:rPr>
          <w:b/>
          <w:color w:val="000000"/>
        </w:rPr>
      </w:pPr>
      <w:r>
        <w:rPr>
          <w:b/>
          <w:color w:val="000000"/>
        </w:rPr>
        <w:t>Vision and Mission Review</w:t>
      </w:r>
    </w:p>
    <w:p w14:paraId="00000024">
      <w:pPr>
        <w:jc w:val="both"/>
      </w:pPr>
      <w:r>
        <w:t xml:space="preserve">The consultant will </w:t>
      </w:r>
      <w:sdt>
        <w:sdtPr>
          <w:tag w:val="goog_rdk_72"/>
          <w:id w:val="1819611421"/>
        </w:sdtPr>
        <w:sdtContent>
          <w:r>
            <w:t xml:space="preserve">facilitate the </w:t>
          </w:r>
        </w:sdtContent>
      </w:sdt>
      <w:r>
        <w:t>review and refine</w:t>
      </w:r>
      <w:sdt>
        <w:sdtPr>
          <w:tag w:val="goog_rdk_73"/>
          <w:id w:val="-474067979"/>
        </w:sdtPr>
        <w:sdtContent>
          <w:r>
            <w:t>ment of</w:t>
          </w:r>
        </w:sdtContent>
      </w:sdt>
      <w:r>
        <w:t xml:space="preserve"> IGCP's current vision and mission statements to ensure alignment with future goals and operational realities in the wake of the new registered IGCP. This may involve facilitated discussions with IGCP leadership and key stakeholders to ensure the vision and mission accurately reflect the organization's aspirations and purpose.</w:t>
      </w:r>
    </w:p>
    <w:p w14:paraId="00000025">
      <w:pPr>
        <w:numPr>
          <w:ilvl w:val="0"/>
          <w:numId w:val="3"/>
        </w:numPr>
        <w:pBdr>
          <w:top w:val="none" w:color="auto" w:sz="0" w:space="0"/>
          <w:left w:val="none" w:color="auto" w:sz="0" w:space="0"/>
          <w:bottom w:val="none" w:color="auto" w:sz="0" w:space="0"/>
          <w:right w:val="none" w:color="auto" w:sz="0" w:space="0"/>
          <w:between w:val="none" w:color="auto" w:sz="0" w:space="0"/>
        </w:pBdr>
        <w:rPr>
          <w:b/>
          <w:color w:val="000000"/>
        </w:rPr>
      </w:pPr>
      <w:r>
        <w:rPr>
          <w:b/>
          <w:color w:val="000000"/>
        </w:rPr>
        <w:t>Goal Setting</w:t>
      </w:r>
    </w:p>
    <w:p w14:paraId="00000026">
      <w:pPr>
        <w:jc w:val="both"/>
      </w:pPr>
      <w:r>
        <w:t>The consultant will</w:t>
      </w:r>
      <w:sdt>
        <w:sdtPr>
          <w:tag w:val="goog_rdk_74"/>
          <w:id w:val="1209539424"/>
        </w:sdtPr>
        <w:sdtContent>
          <w:r>
            <w:t xml:space="preserve"> facilitate the </w:t>
          </w:r>
        </w:sdtContent>
      </w:sdt>
      <w:r>
        <w:t>establish</w:t>
      </w:r>
      <w:sdt>
        <w:sdtPr>
          <w:tag w:val="goog_rdk_76"/>
          <w:id w:val="-1505885266"/>
        </w:sdtPr>
        <w:sdtContent>
          <w:r>
            <w:t>ment of</w:t>
          </w:r>
        </w:sdtContent>
      </w:sdt>
      <w:r>
        <w:t xml:space="preserve"> strategic, measurable goals and objectives that reflect IGCP's mission, address challenges, and leverage opportunities. This will include developing SMART (Specific, Measurable, Achievable, Relevant, Time-bound) objectives that provide clear direction for the organization's activities over the strategic period.</w:t>
      </w:r>
    </w:p>
    <w:p w14:paraId="00000027">
      <w:pPr>
        <w:numPr>
          <w:ilvl w:val="0"/>
          <w:numId w:val="3"/>
        </w:numPr>
        <w:pBdr>
          <w:top w:val="none" w:color="auto" w:sz="0" w:space="0"/>
          <w:left w:val="none" w:color="auto" w:sz="0" w:space="0"/>
          <w:bottom w:val="none" w:color="auto" w:sz="0" w:space="0"/>
          <w:right w:val="none" w:color="auto" w:sz="0" w:space="0"/>
          <w:between w:val="none" w:color="auto" w:sz="0" w:space="0"/>
        </w:pBdr>
        <w:jc w:val="both"/>
        <w:rPr>
          <w:b/>
          <w:color w:val="000000"/>
        </w:rPr>
      </w:pPr>
      <w:r>
        <w:rPr>
          <w:b/>
          <w:color w:val="000000"/>
        </w:rPr>
        <w:t>Strategy Development</w:t>
      </w:r>
    </w:p>
    <w:p w14:paraId="00000028">
      <w:pPr>
        <w:jc w:val="both"/>
      </w:pPr>
      <w:r>
        <w:t xml:space="preserve">The consultant will </w:t>
      </w:r>
      <w:sdt>
        <w:sdtPr>
          <w:tag w:val="goog_rdk_77"/>
          <w:id w:val="1809041030"/>
        </w:sdtPr>
        <w:sdtContent>
          <w:r>
            <w:t xml:space="preserve">support the </w:t>
          </w:r>
        </w:sdtContent>
      </w:sdt>
      <w:r>
        <w:t>formulat</w:t>
      </w:r>
      <w:sdt>
        <w:sdtPr>
          <w:tag w:val="goog_rdk_78"/>
          <w:id w:val="1836194149"/>
        </w:sdtPr>
        <w:sdtContent>
          <w:r>
            <w:t>ion of</w:t>
          </w:r>
        </w:sdtContent>
      </w:sdt>
      <w:r>
        <w:t xml:space="preserve"> detailed strategies and programmatic interventions to achieve the set goals. This will include identifying potential partnerships, funding mechanisms, advocacy strategies, and program</w:t>
      </w:r>
      <w:sdt>
        <w:sdtPr>
          <w:tag w:val="goog_rdk_80"/>
          <w:id w:val="192577874"/>
        </w:sdtPr>
        <w:sdtContent>
          <w:r>
            <w:t>me</w:t>
          </w:r>
        </w:sdtContent>
      </w:sdt>
      <w:r>
        <w:t xml:space="preserve"> priorities. The consultant will also develop a resource mobilization strategy to support implementation of the strategic plan.</w:t>
      </w:r>
    </w:p>
    <w:p w14:paraId="75196FFF">
      <w:pPr>
        <w:jc w:val="both"/>
      </w:pPr>
    </w:p>
    <w:p w14:paraId="1F945068">
      <w:pPr>
        <w:jc w:val="both"/>
      </w:pPr>
    </w:p>
    <w:p w14:paraId="00000029">
      <w:pPr>
        <w:numPr>
          <w:ilvl w:val="0"/>
          <w:numId w:val="3"/>
        </w:numPr>
        <w:pBdr>
          <w:top w:val="none" w:color="auto" w:sz="0" w:space="0"/>
          <w:left w:val="none" w:color="auto" w:sz="0" w:space="0"/>
          <w:bottom w:val="none" w:color="auto" w:sz="0" w:space="0"/>
          <w:right w:val="none" w:color="auto" w:sz="0" w:space="0"/>
          <w:between w:val="none" w:color="auto" w:sz="0" w:space="0"/>
        </w:pBdr>
        <w:jc w:val="both"/>
        <w:rPr>
          <w:b/>
          <w:color w:val="000000"/>
        </w:rPr>
      </w:pPr>
      <w:r>
        <w:rPr>
          <w:b/>
          <w:color w:val="000000"/>
        </w:rPr>
        <w:t>Monitoring and Evaluation Framework</w:t>
      </w:r>
    </w:p>
    <w:p w14:paraId="063083B9">
      <w:pPr>
        <w:jc w:val="both"/>
      </w:pPr>
      <w:r>
        <w:t xml:space="preserve">The consultant will </w:t>
      </w:r>
      <w:sdt>
        <w:sdtPr>
          <w:tag w:val="goog_rdk_81"/>
          <w:id w:val="-1819806740"/>
        </w:sdtPr>
        <w:sdtContent>
          <w:r>
            <w:t>update and adapt</w:t>
          </w:r>
        </w:sdtContent>
      </w:sdt>
      <w:sdt>
        <w:sdtPr>
          <w:tag w:val="goog_rdk_82"/>
          <w:id w:val="167757537"/>
          <w:showingPlcHdr/>
        </w:sdtPr>
        <w:sdtContent>
          <w:r>
            <w:t xml:space="preserve">     </w:t>
          </w:r>
        </w:sdtContent>
      </w:sdt>
      <w:r>
        <w:t xml:space="preserve"> </w:t>
      </w:r>
      <w:sdt>
        <w:sdtPr>
          <w:tag w:val="goog_rdk_83"/>
          <w:id w:val="412900943"/>
        </w:sdtPr>
        <w:sdtContent>
          <w:r>
            <w:t xml:space="preserve">the existing </w:t>
          </w:r>
        </w:sdtContent>
      </w:sdt>
      <w:sdt>
        <w:sdtPr>
          <w:tag w:val="goog_rdk_84"/>
          <w:id w:val="1153258785"/>
          <w:showingPlcHdr/>
        </w:sdtPr>
        <w:sdtContent>
          <w:r>
            <w:t xml:space="preserve">     </w:t>
          </w:r>
        </w:sdtContent>
      </w:sdt>
      <w:r>
        <w:t xml:space="preserve"> M&amp;E framework to </w:t>
      </w:r>
      <w:sdt>
        <w:sdtPr>
          <w:tag w:val="goog_rdk_85"/>
          <w:id w:val="866176114"/>
        </w:sdtPr>
        <w:sdtContent>
          <w:r>
            <w:t xml:space="preserve">ensure it can effectively </w:t>
          </w:r>
        </w:sdtContent>
      </w:sdt>
      <w:r>
        <w:t>measure progress, evaluate impact, and facilitate adaptive management</w:t>
      </w:r>
      <w:sdt>
        <w:sdtPr>
          <w:tag w:val="goog_rdk_86"/>
          <w:id w:val="-1813014294"/>
        </w:sdtPr>
        <w:sdtContent>
          <w:r>
            <w:t xml:space="preserve"> in the new strategic plan period</w:t>
          </w:r>
        </w:sdtContent>
      </w:sdt>
      <w:r>
        <w:t>. This framework should include key performance indicators (KPIs) and verification methods that allow IGCP to track implementation and assess outcomes effectively.</w:t>
      </w:r>
    </w:p>
    <w:p w14:paraId="0000002B">
      <w:pPr>
        <w:numPr>
          <w:ilvl w:val="0"/>
          <w:numId w:val="3"/>
        </w:numPr>
        <w:pBdr>
          <w:top w:val="none" w:color="auto" w:sz="0" w:space="0"/>
          <w:left w:val="none" w:color="auto" w:sz="0" w:space="0"/>
          <w:bottom w:val="none" w:color="auto" w:sz="0" w:space="0"/>
          <w:right w:val="none" w:color="auto" w:sz="0" w:space="0"/>
          <w:between w:val="none" w:color="auto" w:sz="0" w:space="0"/>
        </w:pBdr>
        <w:jc w:val="both"/>
        <w:rPr>
          <w:b/>
          <w:color w:val="000000"/>
        </w:rPr>
      </w:pPr>
      <w:sdt>
        <w:sdtPr>
          <w:tag w:val="goog_rdk_87"/>
          <w:id w:val="-1680497548"/>
        </w:sdtPr>
        <w:sdtContent/>
      </w:sdt>
      <w:r>
        <w:rPr>
          <w:b/>
          <w:color w:val="000000"/>
        </w:rPr>
        <w:t>Determination of IGCP's Niche</w:t>
      </w:r>
    </w:p>
    <w:p w14:paraId="0000002C">
      <w:pPr>
        <w:jc w:val="both"/>
      </w:pPr>
      <w:r>
        <w:t>The consultant will analyze the conservation landscape to identify IGCP's distinctive role and focus areas for maximum impact. This will include assessing comparative advantages and unique positioning opportunities that allow IGCP to leverage its strengths and maximize its conservation impact.</w:t>
      </w:r>
    </w:p>
    <w:p w14:paraId="0000002D">
      <w:pPr>
        <w:numPr>
          <w:ilvl w:val="0"/>
          <w:numId w:val="3"/>
        </w:numPr>
        <w:pBdr>
          <w:top w:val="none" w:color="auto" w:sz="0" w:space="0"/>
          <w:left w:val="none" w:color="auto" w:sz="0" w:space="0"/>
          <w:bottom w:val="none" w:color="auto" w:sz="0" w:space="0"/>
          <w:right w:val="none" w:color="auto" w:sz="0" w:space="0"/>
          <w:between w:val="none" w:color="auto" w:sz="0" w:space="0"/>
        </w:pBdr>
        <w:jc w:val="both"/>
        <w:rPr>
          <w:b/>
          <w:color w:val="000000"/>
        </w:rPr>
      </w:pPr>
      <w:r>
        <w:rPr>
          <w:b/>
          <w:color w:val="000000"/>
        </w:rPr>
        <w:t>Implementation Roadmap</w:t>
      </w:r>
    </w:p>
    <w:p w14:paraId="0000002E">
      <w:pPr>
        <w:jc w:val="both"/>
      </w:pPr>
      <w:r>
        <w:t xml:space="preserve">The consultant will </w:t>
      </w:r>
      <w:sdt>
        <w:sdtPr>
          <w:tag w:val="goog_rdk_88"/>
          <w:id w:val="-429118166"/>
        </w:sdtPr>
        <w:sdtContent>
          <w:r>
            <w:t xml:space="preserve">facilitate the </w:t>
          </w:r>
        </w:sdtContent>
      </w:sdt>
      <w:r>
        <w:t>develop</w:t>
      </w:r>
      <w:sdt>
        <w:sdtPr>
          <w:tag w:val="goog_rdk_89"/>
          <w:id w:val="-258670362"/>
        </w:sdtPr>
        <w:sdtContent>
          <w:r>
            <w:t xml:space="preserve">ment of </w:t>
          </w:r>
        </w:sdtContent>
      </w:sdt>
      <w:r>
        <w:t>a phased implementation plan with clear timelines and responsibilities. This should include guidance on organizational capacity requirements for effective implementation, helping IGCP prepare for successful execution of the strategic plan.</w:t>
      </w:r>
    </w:p>
    <w:p w14:paraId="0000002F">
      <w:pPr>
        <w:rPr>
          <w:b/>
        </w:rPr>
      </w:pPr>
      <w:r>
        <w:rPr>
          <w:b/>
        </w:rPr>
        <w:t>5. Methodology</w:t>
      </w:r>
    </w:p>
    <w:p w14:paraId="00000030">
      <w:pPr>
        <w:jc w:val="both"/>
      </w:pPr>
      <w:r>
        <w:t>The consultant is expected to propose a detailed methodology that will effectively address the scope of work and deliver the required outputs. While the specific approach will be determined by the consultant, IGCP expects the methodology to be participatory, inclusive, and evidence-based. The methodology should facilitate meaningful engagement with diverse stakeholders and ensure that the resulting strategic plan is both ambitious and practical.</w:t>
      </w:r>
    </w:p>
    <w:p w14:paraId="00000031">
      <w:pPr>
        <w:jc w:val="both"/>
      </w:pPr>
      <w:r>
        <w:t>The consultant should consider incorporating approaches such as desk reviews, field visits, stakeholder consultations, workshops, and data analysis techniques as appropriate. The methodology should also include strategies for ensuring the quality and credibility of findings, as well as approaches for building ownership of the strategic plan among key stakeholders.</w:t>
      </w:r>
    </w:p>
    <w:p w14:paraId="00000032">
      <w:pPr>
        <w:rPr>
          <w:b/>
        </w:rPr>
      </w:pPr>
      <w:r>
        <w:rPr>
          <w:b/>
        </w:rPr>
        <w:t>6. Deliverables</w:t>
      </w:r>
    </w:p>
    <w:p w14:paraId="00000033">
      <w:r>
        <w:t>The consultant will be responsible for producing the following deliverables:</w:t>
      </w:r>
    </w:p>
    <w:p w14:paraId="00000034">
      <w:pPr>
        <w:numPr>
          <w:ilvl w:val="1"/>
          <w:numId w:val="4"/>
        </w:numPr>
        <w:pBdr>
          <w:top w:val="none" w:color="auto" w:sz="0" w:space="0"/>
          <w:left w:val="none" w:color="auto" w:sz="0" w:space="0"/>
          <w:bottom w:val="none" w:color="auto" w:sz="0" w:space="0"/>
          <w:right w:val="none" w:color="auto" w:sz="0" w:space="0"/>
          <w:between w:val="none" w:color="auto" w:sz="0" w:space="0"/>
        </w:pBdr>
        <w:ind w:left="720"/>
        <w:jc w:val="both"/>
        <w:rPr>
          <w:b/>
          <w:color w:val="000000"/>
        </w:rPr>
      </w:pPr>
      <w:r>
        <w:rPr>
          <w:b/>
          <w:color w:val="000000"/>
        </w:rPr>
        <w:t>Inception Report</w:t>
      </w:r>
    </w:p>
    <w:p w14:paraId="00000035">
      <w:pPr>
        <w:jc w:val="both"/>
      </w:pPr>
      <w:r>
        <w:t>The consultant will submit an inception report within 10 days after the contract is signed. This report should outline the detailed work plan, methodology, and stakeholder engagement strategy. The report should be approximately 10 pages, excluding annexes, and will serve as the roadmap for the strategic planning process.</w:t>
      </w:r>
    </w:p>
    <w:p w14:paraId="00000036">
      <w:pPr>
        <w:numPr>
          <w:ilvl w:val="0"/>
          <w:numId w:val="4"/>
        </w:numPr>
        <w:pBdr>
          <w:top w:val="none" w:color="auto" w:sz="0" w:space="0"/>
          <w:left w:val="none" w:color="auto" w:sz="0" w:space="0"/>
          <w:bottom w:val="none" w:color="auto" w:sz="0" w:space="0"/>
          <w:right w:val="none" w:color="auto" w:sz="0" w:space="0"/>
          <w:between w:val="none" w:color="auto" w:sz="0" w:space="0"/>
        </w:pBdr>
        <w:jc w:val="both"/>
        <w:rPr>
          <w:b/>
          <w:color w:val="000000"/>
        </w:rPr>
      </w:pPr>
      <w:r>
        <w:rPr>
          <w:b/>
          <w:color w:val="000000"/>
        </w:rPr>
        <w:t xml:space="preserve">Situation Analysis Report and Theory of Change </w:t>
      </w:r>
    </w:p>
    <w:p w14:paraId="00000037">
      <w:pPr>
        <w:jc w:val="both"/>
      </w:pPr>
      <w:r>
        <w:t>By week 5 after the contract signing, the consultant will deliver a comprehensive assessment of the current context, SWOT analysis, and stakeholder mapping. This report will provide the foundation for the strategic planning process.</w:t>
      </w:r>
    </w:p>
    <w:p w14:paraId="3248B90A">
      <w:pPr>
        <w:jc w:val="both"/>
      </w:pPr>
    </w:p>
    <w:p w14:paraId="00000038">
      <w:pPr>
        <w:numPr>
          <w:ilvl w:val="0"/>
          <w:numId w:val="4"/>
        </w:numPr>
        <w:pBdr>
          <w:top w:val="none" w:color="auto" w:sz="0" w:space="0"/>
          <w:left w:val="none" w:color="auto" w:sz="0" w:space="0"/>
          <w:bottom w:val="none" w:color="auto" w:sz="0" w:space="0"/>
          <w:right w:val="none" w:color="auto" w:sz="0" w:space="0"/>
          <w:between w:val="none" w:color="auto" w:sz="0" w:space="0"/>
        </w:pBdr>
        <w:jc w:val="both"/>
        <w:rPr>
          <w:b/>
          <w:color w:val="000000"/>
        </w:rPr>
      </w:pPr>
      <w:r>
        <w:rPr>
          <w:b/>
          <w:color w:val="000000"/>
        </w:rPr>
        <w:t>IGCP Niche and Draft Strategic Plan</w:t>
      </w:r>
    </w:p>
    <w:p w14:paraId="61C62C97">
      <w:pPr>
        <w:jc w:val="both"/>
      </w:pPr>
      <w:r>
        <w:t xml:space="preserve">The consultant will develop a </w:t>
      </w:r>
      <w:sdt>
        <w:sdtPr>
          <w:tag w:val="goog_rdk_93"/>
          <w:id w:val="1046417663"/>
        </w:sdtPr>
        <w:sdtContent>
          <w:r>
            <w:t xml:space="preserve">clear proposal for IGCP’s niche along with a </w:t>
          </w:r>
        </w:sdtContent>
      </w:sdt>
      <w:r>
        <w:t xml:space="preserve">complete draft strategic plan by week 8 after the contract signing. This document should include the situation analysis, Theory of Change, IGCP niche, vision/mission, goals, strategies, and M&amp;E </w:t>
      </w:r>
      <w:sdt>
        <w:sdtPr>
          <w:tag w:val="goog_rdk_94"/>
          <w:id w:val="1214157451"/>
        </w:sdtPr>
        <w:sdtContent/>
      </w:sdt>
      <w:r>
        <w:t>framework. The draft plan should be approximately 50 pages, excluding annexes, and will be used for stakeholder consultations and feedback.</w:t>
      </w:r>
    </w:p>
    <w:p w14:paraId="0000003A">
      <w:pPr>
        <w:numPr>
          <w:ilvl w:val="0"/>
          <w:numId w:val="4"/>
        </w:numPr>
        <w:pBdr>
          <w:top w:val="none" w:color="auto" w:sz="0" w:space="0"/>
          <w:left w:val="none" w:color="auto" w:sz="0" w:space="0"/>
          <w:bottom w:val="none" w:color="auto" w:sz="0" w:space="0"/>
          <w:right w:val="none" w:color="auto" w:sz="0" w:space="0"/>
          <w:between w:val="none" w:color="auto" w:sz="0" w:space="0"/>
        </w:pBdr>
        <w:jc w:val="both"/>
        <w:rPr>
          <w:b/>
          <w:color w:val="000000"/>
        </w:rPr>
      </w:pPr>
      <w:r>
        <w:rPr>
          <w:b/>
          <w:color w:val="000000"/>
        </w:rPr>
        <w:t>Stakeholder Presentation Materials</w:t>
      </w:r>
    </w:p>
    <w:p w14:paraId="0000003B">
      <w:pPr>
        <w:jc w:val="both"/>
      </w:pPr>
      <w:r>
        <w:t>The consultant will prepare presentation materials for stakeholder validation workshops, including a PowerPoint presentation and facilitation materials. An executive summary (5-8 pages) should also be prepared for distribution to stakeholders.</w:t>
      </w:r>
    </w:p>
    <w:p w14:paraId="0000003C">
      <w:pPr>
        <w:numPr>
          <w:ilvl w:val="0"/>
          <w:numId w:val="4"/>
        </w:numPr>
        <w:pBdr>
          <w:top w:val="none" w:color="auto" w:sz="0" w:space="0"/>
          <w:left w:val="none" w:color="auto" w:sz="0" w:space="0"/>
          <w:bottom w:val="none" w:color="auto" w:sz="0" w:space="0"/>
          <w:right w:val="none" w:color="auto" w:sz="0" w:space="0"/>
          <w:between w:val="none" w:color="auto" w:sz="0" w:space="0"/>
        </w:pBdr>
        <w:jc w:val="both"/>
        <w:rPr>
          <w:b/>
          <w:color w:val="000000"/>
        </w:rPr>
      </w:pPr>
      <w:r>
        <w:rPr>
          <w:b/>
          <w:color w:val="000000"/>
        </w:rPr>
        <w:t>Final Strategic Plan</w:t>
      </w:r>
    </w:p>
    <w:p w14:paraId="0000003D">
      <w:pPr>
        <w:jc w:val="both"/>
      </w:pPr>
      <w:r>
        <w:t xml:space="preserve">The consultant will submit the final strategic plan one week after the validation workshop. This document should incorporate stakeholder feedback and include a professional layout with an executive summary, main document, and annexes. The plan should be provided in both print-ready and editable electronic formats. All deliverables should be submitted in English, with executive summaries in English. </w:t>
      </w:r>
    </w:p>
    <w:p w14:paraId="0000003E">
      <w:pPr>
        <w:rPr>
          <w:b/>
        </w:rPr>
      </w:pPr>
      <w:r>
        <w:rPr>
          <w:b/>
        </w:rPr>
        <w:t>7. Timeline</w:t>
      </w:r>
    </w:p>
    <w:p w14:paraId="0000003F">
      <w:r>
        <w:t>The strategic planning process will span a period of 12 weeks, with the following key milestones:</w:t>
      </w:r>
    </w:p>
    <w:tbl>
      <w:tblPr>
        <w:tblStyle w:val="41"/>
        <w:tblW w:w="980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
      <w:tblGrid>
        <w:gridCol w:w="2195"/>
        <w:gridCol w:w="3710"/>
        <w:gridCol w:w="1856"/>
        <w:gridCol w:w="2039"/>
      </w:tblGrid>
      <w:tr w14:paraId="208144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blHeader/>
        </w:trPr>
        <w:tc>
          <w:tcPr>
            <w:tcW w:w="2195" w:type="dxa"/>
            <w:shd w:val="clear" w:color="auto" w:fill="auto"/>
            <w:vAlign w:val="center"/>
          </w:tcPr>
          <w:p w14:paraId="00000040">
            <w:pPr>
              <w:rPr>
                <w:b/>
              </w:rPr>
            </w:pPr>
            <w:r>
              <w:rPr>
                <w:b/>
              </w:rPr>
              <w:t>Phase</w:t>
            </w:r>
          </w:p>
        </w:tc>
        <w:tc>
          <w:tcPr>
            <w:tcW w:w="3710" w:type="dxa"/>
            <w:shd w:val="clear" w:color="auto" w:fill="auto"/>
            <w:vAlign w:val="center"/>
          </w:tcPr>
          <w:p w14:paraId="00000041">
            <w:pPr>
              <w:rPr>
                <w:b/>
              </w:rPr>
            </w:pPr>
            <w:r>
              <w:rPr>
                <w:b/>
              </w:rPr>
              <w:t>Activities</w:t>
            </w:r>
          </w:p>
        </w:tc>
        <w:tc>
          <w:tcPr>
            <w:tcW w:w="1856" w:type="dxa"/>
            <w:shd w:val="clear" w:color="auto" w:fill="auto"/>
            <w:vAlign w:val="center"/>
          </w:tcPr>
          <w:p w14:paraId="00000042">
            <w:pPr>
              <w:rPr>
                <w:b/>
              </w:rPr>
            </w:pPr>
            <w:r>
              <w:rPr>
                <w:b/>
              </w:rPr>
              <w:t>Timeframe</w:t>
            </w:r>
          </w:p>
        </w:tc>
        <w:tc>
          <w:tcPr>
            <w:tcW w:w="2039" w:type="dxa"/>
            <w:shd w:val="clear" w:color="auto" w:fill="auto"/>
            <w:vAlign w:val="center"/>
          </w:tcPr>
          <w:p w14:paraId="00000043">
            <w:pPr>
              <w:rPr>
                <w:b/>
              </w:rPr>
            </w:pPr>
            <w:r>
              <w:rPr>
                <w:b/>
              </w:rPr>
              <w:t>Deliverables</w:t>
            </w:r>
          </w:p>
        </w:tc>
      </w:tr>
      <w:tr w14:paraId="1A2C61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c>
          <w:tcPr>
            <w:tcW w:w="2195" w:type="dxa"/>
            <w:shd w:val="clear" w:color="auto" w:fill="auto"/>
            <w:vAlign w:val="center"/>
          </w:tcPr>
          <w:p w14:paraId="00000044">
            <w:r>
              <w:t>Inception</w:t>
            </w:r>
          </w:p>
        </w:tc>
        <w:tc>
          <w:tcPr>
            <w:tcW w:w="3710" w:type="dxa"/>
            <w:shd w:val="clear" w:color="auto" w:fill="auto"/>
            <w:vAlign w:val="center"/>
          </w:tcPr>
          <w:p w14:paraId="00000045">
            <w:r>
              <w:t>Contract finalization, initial meetings, document review</w:t>
            </w:r>
          </w:p>
        </w:tc>
        <w:tc>
          <w:tcPr>
            <w:tcW w:w="1856" w:type="dxa"/>
            <w:shd w:val="clear" w:color="auto" w:fill="auto"/>
            <w:vAlign w:val="center"/>
          </w:tcPr>
          <w:p w14:paraId="00000046">
            <w:r>
              <w:t>10 days after contract signing</w:t>
            </w:r>
          </w:p>
        </w:tc>
        <w:tc>
          <w:tcPr>
            <w:tcW w:w="2039" w:type="dxa"/>
            <w:shd w:val="clear" w:color="auto" w:fill="auto"/>
            <w:vAlign w:val="center"/>
          </w:tcPr>
          <w:p w14:paraId="00000047">
            <w:r>
              <w:t>Inception Report</w:t>
            </w:r>
          </w:p>
        </w:tc>
      </w:tr>
      <w:tr w14:paraId="33B37D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c>
          <w:tcPr>
            <w:tcW w:w="2195" w:type="dxa"/>
            <w:shd w:val="clear" w:color="auto" w:fill="auto"/>
            <w:vAlign w:val="center"/>
          </w:tcPr>
          <w:p w14:paraId="00000048">
            <w:r>
              <w:t>Situation Analysis/ToC</w:t>
            </w:r>
          </w:p>
        </w:tc>
        <w:tc>
          <w:tcPr>
            <w:tcW w:w="3710" w:type="dxa"/>
            <w:shd w:val="clear" w:color="auto" w:fill="auto"/>
            <w:vAlign w:val="center"/>
          </w:tcPr>
          <w:p w14:paraId="00000049">
            <w:r>
              <w:t>Desk review, stakeholder consultations, field visits</w:t>
            </w:r>
          </w:p>
        </w:tc>
        <w:tc>
          <w:tcPr>
            <w:tcW w:w="1856" w:type="dxa"/>
            <w:shd w:val="clear" w:color="auto" w:fill="auto"/>
            <w:vAlign w:val="center"/>
          </w:tcPr>
          <w:p w14:paraId="0000004A">
            <w:r>
              <w:t>Weeks 2-5</w:t>
            </w:r>
          </w:p>
        </w:tc>
        <w:tc>
          <w:tcPr>
            <w:tcW w:w="2039" w:type="dxa"/>
            <w:shd w:val="clear" w:color="auto" w:fill="auto"/>
            <w:vAlign w:val="center"/>
          </w:tcPr>
          <w:p w14:paraId="0000004B">
            <w:r>
              <w:t>Situation Analysis Report</w:t>
            </w:r>
          </w:p>
        </w:tc>
      </w:tr>
      <w:tr w14:paraId="0B9FF8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c>
          <w:tcPr>
            <w:tcW w:w="2195" w:type="dxa"/>
            <w:shd w:val="clear" w:color="auto" w:fill="auto"/>
            <w:vAlign w:val="center"/>
          </w:tcPr>
          <w:p w14:paraId="0000004C">
            <w:sdt>
              <w:sdtPr>
                <w:tag w:val="goog_rdk_96"/>
                <w:id w:val="263430915"/>
              </w:sdtPr>
              <w:sdtContent>
                <w:r>
                  <w:t xml:space="preserve">Niche and </w:t>
                </w:r>
              </w:sdtContent>
            </w:sdt>
            <w:r>
              <w:t>Strategic Framework Development</w:t>
            </w:r>
          </w:p>
        </w:tc>
        <w:tc>
          <w:tcPr>
            <w:tcW w:w="3710" w:type="dxa"/>
            <w:shd w:val="clear" w:color="auto" w:fill="auto"/>
            <w:vAlign w:val="center"/>
          </w:tcPr>
          <w:p w14:paraId="0000004D">
            <w:r>
              <w:t>Niche/Vision/mission review, goal setting, strategy formulation</w:t>
            </w:r>
          </w:p>
        </w:tc>
        <w:tc>
          <w:tcPr>
            <w:tcW w:w="1856" w:type="dxa"/>
            <w:shd w:val="clear" w:color="auto" w:fill="auto"/>
            <w:vAlign w:val="center"/>
          </w:tcPr>
          <w:p w14:paraId="0000004E">
            <w:r>
              <w:t>Weeks 6-8</w:t>
            </w:r>
          </w:p>
        </w:tc>
        <w:tc>
          <w:tcPr>
            <w:tcW w:w="2039" w:type="dxa"/>
            <w:shd w:val="clear" w:color="auto" w:fill="auto"/>
            <w:vAlign w:val="center"/>
          </w:tcPr>
          <w:p w14:paraId="0000004F">
            <w:r>
              <w:t>Draft sections of Strategic Plan</w:t>
            </w:r>
          </w:p>
        </w:tc>
      </w:tr>
      <w:tr w14:paraId="130CB6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c>
          <w:tcPr>
            <w:tcW w:w="2195" w:type="dxa"/>
            <w:shd w:val="clear" w:color="auto" w:fill="auto"/>
            <w:vAlign w:val="center"/>
          </w:tcPr>
          <w:p w14:paraId="00000050">
            <w:r>
              <w:t>Draft Plan Development</w:t>
            </w:r>
          </w:p>
        </w:tc>
        <w:tc>
          <w:tcPr>
            <w:tcW w:w="3710" w:type="dxa"/>
            <w:shd w:val="clear" w:color="auto" w:fill="auto"/>
            <w:vAlign w:val="center"/>
          </w:tcPr>
          <w:p w14:paraId="00000051">
            <w:r>
              <w:t>Compilation of complete draft plan</w:t>
            </w:r>
          </w:p>
        </w:tc>
        <w:tc>
          <w:tcPr>
            <w:tcW w:w="1856" w:type="dxa"/>
            <w:shd w:val="clear" w:color="auto" w:fill="auto"/>
            <w:vAlign w:val="center"/>
          </w:tcPr>
          <w:p w14:paraId="00000052">
            <w:r>
              <w:t>Weeks 9-10</w:t>
            </w:r>
          </w:p>
        </w:tc>
        <w:tc>
          <w:tcPr>
            <w:tcW w:w="2039" w:type="dxa"/>
            <w:shd w:val="clear" w:color="auto" w:fill="auto"/>
            <w:vAlign w:val="center"/>
          </w:tcPr>
          <w:p w14:paraId="00000053">
            <w:r>
              <w:t>Draft Strategic Plan</w:t>
            </w:r>
          </w:p>
        </w:tc>
      </w:tr>
      <w:tr w14:paraId="69B552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c>
          <w:tcPr>
            <w:tcW w:w="2195" w:type="dxa"/>
            <w:shd w:val="clear" w:color="auto" w:fill="auto"/>
            <w:vAlign w:val="center"/>
          </w:tcPr>
          <w:p w14:paraId="00000054">
            <w:r>
              <w:t>Stakeholder Validation</w:t>
            </w:r>
          </w:p>
        </w:tc>
        <w:tc>
          <w:tcPr>
            <w:tcW w:w="3710" w:type="dxa"/>
            <w:shd w:val="clear" w:color="auto" w:fill="auto"/>
            <w:vAlign w:val="center"/>
          </w:tcPr>
          <w:p w14:paraId="00000055">
            <w:r>
              <w:t>Presentation and workshops with key stakeholders</w:t>
            </w:r>
          </w:p>
        </w:tc>
        <w:tc>
          <w:tcPr>
            <w:tcW w:w="1856" w:type="dxa"/>
            <w:shd w:val="clear" w:color="auto" w:fill="auto"/>
            <w:vAlign w:val="center"/>
          </w:tcPr>
          <w:p w14:paraId="00000056">
            <w:r>
              <w:t>Week 11</w:t>
            </w:r>
          </w:p>
        </w:tc>
        <w:tc>
          <w:tcPr>
            <w:tcW w:w="2039" w:type="dxa"/>
            <w:shd w:val="clear" w:color="auto" w:fill="auto"/>
            <w:vAlign w:val="center"/>
          </w:tcPr>
          <w:p w14:paraId="00000057">
            <w:r>
              <w:t>Workshop reports</w:t>
            </w:r>
          </w:p>
        </w:tc>
      </w:tr>
      <w:tr w14:paraId="6C2C0D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c>
          <w:tcPr>
            <w:tcW w:w="2195" w:type="dxa"/>
            <w:shd w:val="clear" w:color="auto" w:fill="auto"/>
            <w:vAlign w:val="center"/>
          </w:tcPr>
          <w:p w14:paraId="00000058">
            <w:r>
              <w:t>Finalization</w:t>
            </w:r>
          </w:p>
        </w:tc>
        <w:tc>
          <w:tcPr>
            <w:tcW w:w="3710" w:type="dxa"/>
            <w:shd w:val="clear" w:color="auto" w:fill="auto"/>
            <w:vAlign w:val="center"/>
          </w:tcPr>
          <w:p w14:paraId="00000059">
            <w:r>
              <w:t>Incorporation of feedback, editing, formatting</w:t>
            </w:r>
          </w:p>
        </w:tc>
        <w:tc>
          <w:tcPr>
            <w:tcW w:w="1856" w:type="dxa"/>
            <w:shd w:val="clear" w:color="auto" w:fill="auto"/>
            <w:vAlign w:val="center"/>
          </w:tcPr>
          <w:p w14:paraId="0000005A">
            <w:r>
              <w:t>Week 12</w:t>
            </w:r>
          </w:p>
        </w:tc>
        <w:tc>
          <w:tcPr>
            <w:tcW w:w="2039" w:type="dxa"/>
            <w:shd w:val="clear" w:color="auto" w:fill="auto"/>
            <w:vAlign w:val="center"/>
          </w:tcPr>
          <w:p w14:paraId="0000005B">
            <w:r>
              <w:t>Final Strategic Plan</w:t>
            </w:r>
          </w:p>
        </w:tc>
      </w:tr>
    </w:tbl>
    <w:p w14:paraId="0000005C">
      <w:pPr>
        <w:rPr>
          <w:b/>
        </w:rPr>
      </w:pPr>
    </w:p>
    <w:p w14:paraId="26603A0C">
      <w:pPr>
        <w:rPr>
          <w:b/>
        </w:rPr>
      </w:pPr>
    </w:p>
    <w:p w14:paraId="0A53FD47">
      <w:pPr>
        <w:rPr>
          <w:b/>
        </w:rPr>
      </w:pPr>
    </w:p>
    <w:p w14:paraId="0000005D">
      <w:pPr>
        <w:rPr>
          <w:b/>
        </w:rPr>
      </w:pPr>
      <w:r>
        <w:rPr>
          <w:b/>
        </w:rPr>
        <w:t>8. Budget and Payment Schedule</w:t>
      </w:r>
    </w:p>
    <w:p w14:paraId="0000005E">
      <w:r>
        <w:t>The consultant shall submit a detailed budget proposal covering all costs in USD related to:</w:t>
      </w:r>
    </w:p>
    <w:p w14:paraId="0000005F">
      <w:pPr>
        <w:numPr>
          <w:ilvl w:val="0"/>
          <w:numId w:val="5"/>
        </w:numPr>
        <w:spacing w:after="120" w:line="276" w:lineRule="auto"/>
        <w:jc w:val="both"/>
      </w:pPr>
      <w:r>
        <w:t>Professional fees</w:t>
      </w:r>
    </w:p>
    <w:p w14:paraId="00000060">
      <w:pPr>
        <w:numPr>
          <w:ilvl w:val="0"/>
          <w:numId w:val="5"/>
        </w:numPr>
        <w:spacing w:after="120" w:line="276" w:lineRule="auto"/>
        <w:jc w:val="both"/>
      </w:pPr>
      <w:r>
        <w:t>Travel expenses (field visits to DRC, Rwanda, and Uganda)</w:t>
      </w:r>
    </w:p>
    <w:p w14:paraId="00000061">
      <w:pPr>
        <w:numPr>
          <w:ilvl w:val="0"/>
          <w:numId w:val="5"/>
        </w:numPr>
        <w:spacing w:after="120" w:line="276" w:lineRule="auto"/>
        <w:jc w:val="both"/>
      </w:pPr>
      <w:r>
        <w:t>Stakeholder consultation costs (workshops, meetings)</w:t>
      </w:r>
    </w:p>
    <w:p w14:paraId="00000062">
      <w:pPr>
        <w:numPr>
          <w:ilvl w:val="0"/>
          <w:numId w:val="5"/>
        </w:numPr>
        <w:spacing w:after="120" w:line="276" w:lineRule="auto"/>
        <w:jc w:val="both"/>
      </w:pPr>
      <w:r>
        <w:t xml:space="preserve">Report production </w:t>
      </w:r>
    </w:p>
    <w:p w14:paraId="00000063">
      <w:pPr>
        <w:numPr>
          <w:ilvl w:val="0"/>
          <w:numId w:val="5"/>
        </w:numPr>
        <w:spacing w:after="120" w:line="276" w:lineRule="auto"/>
        <w:jc w:val="both"/>
      </w:pPr>
      <w:r>
        <w:t>Communication and administrative expenses</w:t>
      </w:r>
    </w:p>
    <w:p w14:paraId="00000064">
      <w:r>
        <w:t>Payments will be made according to the following schedule:</w:t>
      </w:r>
    </w:p>
    <w:p w14:paraId="00000065">
      <w:pPr>
        <w:numPr>
          <w:ilvl w:val="0"/>
          <w:numId w:val="6"/>
        </w:numPr>
        <w:spacing w:after="120" w:line="276" w:lineRule="auto"/>
        <w:jc w:val="both"/>
      </w:pPr>
      <w:r>
        <w:t>20% upon approval of the Inception Report</w:t>
      </w:r>
    </w:p>
    <w:p w14:paraId="00000066">
      <w:pPr>
        <w:numPr>
          <w:ilvl w:val="0"/>
          <w:numId w:val="6"/>
        </w:numPr>
        <w:spacing w:after="120" w:line="276" w:lineRule="auto"/>
        <w:jc w:val="both"/>
      </w:pPr>
      <w:r>
        <w:t>30% upon approval of the Situation Analysis Report and the Theory of Change</w:t>
      </w:r>
    </w:p>
    <w:p w14:paraId="00000067">
      <w:pPr>
        <w:numPr>
          <w:ilvl w:val="0"/>
          <w:numId w:val="6"/>
        </w:numPr>
        <w:spacing w:after="120" w:line="276" w:lineRule="auto"/>
        <w:jc w:val="both"/>
      </w:pPr>
      <w:r>
        <w:t>30% upon approval of the Draft Strategic Plan</w:t>
      </w:r>
    </w:p>
    <w:p w14:paraId="00000068">
      <w:pPr>
        <w:numPr>
          <w:ilvl w:val="0"/>
          <w:numId w:val="6"/>
        </w:numPr>
        <w:spacing w:after="120" w:line="276" w:lineRule="auto"/>
        <w:jc w:val="both"/>
      </w:pPr>
      <w:r>
        <w:t>20% upon approval of the Final Strategic Plan</w:t>
      </w:r>
    </w:p>
    <w:p w14:paraId="00000069">
      <w:pPr>
        <w:rPr>
          <w:b/>
        </w:rPr>
      </w:pPr>
      <w:r>
        <w:rPr>
          <w:b/>
        </w:rPr>
        <w:t>9. Consultant Qualifications and Selection Criteria</w:t>
      </w:r>
    </w:p>
    <w:p w14:paraId="0000006A">
      <w:pPr>
        <w:jc w:val="both"/>
        <w:rPr>
          <w:b/>
        </w:rPr>
      </w:pPr>
      <w:r>
        <w:rPr>
          <w:b/>
        </w:rPr>
        <w:t xml:space="preserve">IGCP encourages to have a team of consultants that will include but not limited to a Conservationist, Natural Resource Management Expert, GIS Expert and Organizational Development Expert.  </w:t>
      </w:r>
    </w:p>
    <w:p w14:paraId="0000006B">
      <w:pPr>
        <w:rPr>
          <w:b/>
        </w:rPr>
      </w:pPr>
      <w:r>
        <w:rPr>
          <w:b/>
        </w:rPr>
        <w:t>Required Qualifications:</w:t>
      </w:r>
    </w:p>
    <w:p w14:paraId="0000006C">
      <w:pPr>
        <w:numPr>
          <w:ilvl w:val="0"/>
          <w:numId w:val="7"/>
        </w:numPr>
        <w:spacing w:after="120" w:line="276" w:lineRule="auto"/>
        <w:jc w:val="both"/>
      </w:pPr>
      <w:r>
        <w:t>Advanced degree (master’s or higher) in conservation, natural resource management, strategic planning, or related field</w:t>
      </w:r>
      <w:sdt>
        <w:sdtPr>
          <w:tag w:val="goog_rdk_97"/>
          <w:id w:val="-503429044"/>
        </w:sdtPr>
        <w:sdtContent>
          <w:r>
            <w:t xml:space="preserve"> (or equivalent experience)</w:t>
          </w:r>
        </w:sdtContent>
      </w:sdt>
    </w:p>
    <w:p w14:paraId="0000006D">
      <w:pPr>
        <w:numPr>
          <w:ilvl w:val="0"/>
          <w:numId w:val="7"/>
        </w:numPr>
        <w:spacing w:after="120" w:line="276" w:lineRule="auto"/>
        <w:jc w:val="both"/>
      </w:pPr>
      <w:r>
        <w:t>Minimum 10 years of experience in strategic planning and facilitation</w:t>
      </w:r>
    </w:p>
    <w:p w14:paraId="0000006E">
      <w:pPr>
        <w:numPr>
          <w:ilvl w:val="0"/>
          <w:numId w:val="7"/>
        </w:numPr>
        <w:spacing w:after="120" w:line="276" w:lineRule="auto"/>
        <w:jc w:val="both"/>
      </w:pPr>
      <w:r>
        <w:t>Demonstrated experience in conservation strategy development, preferably in Greater Virunga Landscape (GVL)</w:t>
      </w:r>
      <w:sdt>
        <w:sdtPr>
          <w:tag w:val="goog_rdk_98"/>
          <w:id w:val="-255985660"/>
        </w:sdtPr>
        <w:sdtContent>
          <w:r>
            <w:t>, although this is not required</w:t>
          </w:r>
        </w:sdtContent>
      </w:sdt>
    </w:p>
    <w:p w14:paraId="0000006F">
      <w:pPr>
        <w:numPr>
          <w:ilvl w:val="0"/>
          <w:numId w:val="7"/>
        </w:numPr>
        <w:spacing w:after="120" w:line="276" w:lineRule="auto"/>
        <w:jc w:val="both"/>
      </w:pPr>
      <w:r>
        <w:t>Knowledge of</w:t>
      </w:r>
      <w:sdt>
        <w:sdtPr>
          <w:tag w:val="goog_rdk_99"/>
          <w:id w:val="-178353916"/>
        </w:sdtPr>
        <w:sdtContent>
          <w:r>
            <w:t xml:space="preserve"> </w:t>
          </w:r>
          <w:sdt>
            <w:sdtPr>
              <w:tag w:val="goog_rdk_100"/>
              <w:id w:val="312141605"/>
            </w:sdtPr>
            <w:sdtContent/>
          </w:sdt>
          <w:r>
            <w:t>great ape</w:t>
          </w:r>
        </w:sdtContent>
      </w:sdt>
      <w:sdt>
        <w:sdtPr>
          <w:tag w:val="goog_rdk_101"/>
          <w:id w:val="723179642"/>
          <w:showingPlcHdr/>
        </w:sdtPr>
        <w:sdtContent>
          <w:r>
            <w:t xml:space="preserve">     </w:t>
          </w:r>
        </w:sdtContent>
      </w:sdt>
      <w:r>
        <w:t xml:space="preserve"> conservation issues and challenges</w:t>
      </w:r>
    </w:p>
    <w:p w14:paraId="00000070">
      <w:pPr>
        <w:numPr>
          <w:ilvl w:val="0"/>
          <w:numId w:val="7"/>
        </w:numPr>
        <w:spacing w:after="120" w:line="276" w:lineRule="auto"/>
        <w:jc w:val="both"/>
      </w:pPr>
      <w:r>
        <w:t>Experience working in the Great Lakes region of Africa</w:t>
      </w:r>
      <w:sdt>
        <w:sdtPr>
          <w:tag w:val="goog_rdk_102"/>
          <w:id w:val="385146637"/>
        </w:sdtPr>
        <w:sdtContent>
          <w:r>
            <w:t xml:space="preserve"> is preferred by not required </w:t>
          </w:r>
        </w:sdtContent>
      </w:sdt>
    </w:p>
    <w:p w14:paraId="00000071">
      <w:pPr>
        <w:numPr>
          <w:ilvl w:val="0"/>
          <w:numId w:val="7"/>
        </w:numPr>
        <w:spacing w:after="120" w:line="276" w:lineRule="auto"/>
        <w:jc w:val="both"/>
      </w:pPr>
      <w:r>
        <w:t>Excellent facilitation and stakeholder engagement skills</w:t>
      </w:r>
    </w:p>
    <w:p w14:paraId="00000072">
      <w:pPr>
        <w:numPr>
          <w:ilvl w:val="0"/>
          <w:numId w:val="7"/>
        </w:numPr>
        <w:spacing w:after="120" w:line="276" w:lineRule="auto"/>
        <w:jc w:val="both"/>
      </w:pPr>
      <w:r>
        <w:t>Fluency in English; working knowledge of French and/or local languages is an advantage</w:t>
      </w:r>
    </w:p>
    <w:p w14:paraId="6E407865">
      <w:pPr>
        <w:spacing w:after="120" w:line="276" w:lineRule="auto"/>
        <w:jc w:val="both"/>
      </w:pPr>
    </w:p>
    <w:p w14:paraId="4ABAA2CA">
      <w:pPr>
        <w:spacing w:after="120" w:line="276" w:lineRule="auto"/>
        <w:jc w:val="both"/>
      </w:pPr>
    </w:p>
    <w:p w14:paraId="34C1CE47">
      <w:pPr>
        <w:spacing w:after="120" w:line="276" w:lineRule="auto"/>
        <w:jc w:val="both"/>
      </w:pPr>
    </w:p>
    <w:p w14:paraId="1F1DE653">
      <w:pPr>
        <w:spacing w:after="120" w:line="276" w:lineRule="auto"/>
        <w:jc w:val="both"/>
      </w:pPr>
    </w:p>
    <w:p w14:paraId="4AFC70EF">
      <w:pPr>
        <w:spacing w:after="120" w:line="276" w:lineRule="auto"/>
        <w:jc w:val="both"/>
      </w:pPr>
    </w:p>
    <w:p w14:paraId="00000073">
      <w:pPr>
        <w:rPr>
          <w:b/>
        </w:rPr>
      </w:pPr>
      <w:r>
        <w:rPr>
          <w:b/>
        </w:rPr>
        <w:t>Selection Criteria:</w:t>
      </w:r>
    </w:p>
    <w:p w14:paraId="00000074">
      <w:pPr>
        <w:jc w:val="both"/>
      </w:pPr>
      <w:r>
        <w:t>Proposals submitted by consultants will be evaluated based on a set of predetermined criteria to ensure selection of the most qualified candidate. The evaluation will be conducted by the IGCP Selection Committee using the following framework:</w:t>
      </w:r>
    </w:p>
    <w:tbl>
      <w:tblPr>
        <w:tblStyle w:val="42"/>
        <w:tblW w:w="980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
      <w:tblGrid>
        <w:gridCol w:w="2018"/>
        <w:gridCol w:w="6980"/>
        <w:gridCol w:w="802"/>
      </w:tblGrid>
      <w:tr w14:paraId="36935A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blHeader/>
        </w:trPr>
        <w:tc>
          <w:tcPr>
            <w:tcW w:w="2018" w:type="dxa"/>
            <w:shd w:val="clear" w:color="auto" w:fill="auto"/>
            <w:vAlign w:val="center"/>
          </w:tcPr>
          <w:p w14:paraId="00000075">
            <w:pPr>
              <w:jc w:val="both"/>
              <w:rPr>
                <w:b/>
              </w:rPr>
            </w:pPr>
            <w:r>
              <w:rPr>
                <w:b/>
              </w:rPr>
              <w:t>Criteria</w:t>
            </w:r>
          </w:p>
        </w:tc>
        <w:tc>
          <w:tcPr>
            <w:tcW w:w="6980" w:type="dxa"/>
            <w:shd w:val="clear" w:color="auto" w:fill="auto"/>
            <w:vAlign w:val="center"/>
          </w:tcPr>
          <w:p w14:paraId="00000076">
            <w:pPr>
              <w:jc w:val="both"/>
              <w:rPr>
                <w:b/>
              </w:rPr>
            </w:pPr>
            <w:r>
              <w:rPr>
                <w:b/>
              </w:rPr>
              <w:t>Description</w:t>
            </w:r>
          </w:p>
        </w:tc>
        <w:tc>
          <w:tcPr>
            <w:tcW w:w="802" w:type="dxa"/>
            <w:shd w:val="clear" w:color="auto" w:fill="auto"/>
            <w:vAlign w:val="center"/>
          </w:tcPr>
          <w:p w14:paraId="00000077">
            <w:pPr>
              <w:jc w:val="both"/>
              <w:rPr>
                <w:b/>
              </w:rPr>
            </w:pPr>
            <w:r>
              <w:rPr>
                <w:b/>
              </w:rPr>
              <w:t>Weight</w:t>
            </w:r>
          </w:p>
        </w:tc>
      </w:tr>
      <w:tr w14:paraId="4E09B7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c>
          <w:tcPr>
            <w:tcW w:w="2018" w:type="dxa"/>
            <w:shd w:val="clear" w:color="auto" w:fill="auto"/>
            <w:vAlign w:val="center"/>
          </w:tcPr>
          <w:p w14:paraId="00000078">
            <w:pPr>
              <w:jc w:val="both"/>
            </w:pPr>
            <w:r>
              <w:t>Technical Approach</w:t>
            </w:r>
          </w:p>
        </w:tc>
        <w:tc>
          <w:tcPr>
            <w:tcW w:w="6980" w:type="dxa"/>
            <w:shd w:val="clear" w:color="auto" w:fill="auto"/>
            <w:vAlign w:val="center"/>
          </w:tcPr>
          <w:p w14:paraId="00000079">
            <w:pPr>
              <w:jc w:val="both"/>
            </w:pPr>
            <w:r>
              <w:t>Quality and feasibility of proposed methodology; understanding of the assignment; innovation in approach; alignment with IGCP needs</w:t>
            </w:r>
          </w:p>
        </w:tc>
        <w:tc>
          <w:tcPr>
            <w:tcW w:w="802" w:type="dxa"/>
            <w:shd w:val="clear" w:color="auto" w:fill="auto"/>
            <w:vAlign w:val="center"/>
          </w:tcPr>
          <w:p w14:paraId="0000007A">
            <w:pPr>
              <w:jc w:val="both"/>
            </w:pPr>
            <w:r>
              <w:t>40%</w:t>
            </w:r>
          </w:p>
        </w:tc>
      </w:tr>
      <w:tr w14:paraId="65D816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c>
          <w:tcPr>
            <w:tcW w:w="2018" w:type="dxa"/>
            <w:shd w:val="clear" w:color="auto" w:fill="auto"/>
            <w:vAlign w:val="center"/>
          </w:tcPr>
          <w:p w14:paraId="0000007B">
            <w:pPr>
              <w:jc w:val="both"/>
            </w:pPr>
            <w:r>
              <w:t>Experience &amp; Qualifications</w:t>
            </w:r>
          </w:p>
        </w:tc>
        <w:tc>
          <w:tcPr>
            <w:tcW w:w="6980" w:type="dxa"/>
            <w:shd w:val="clear" w:color="auto" w:fill="auto"/>
            <w:vAlign w:val="center"/>
          </w:tcPr>
          <w:p w14:paraId="0000007C">
            <w:pPr>
              <w:jc w:val="both"/>
            </w:pPr>
            <w:r>
              <w:t>Relevant expertise in strategic planning; knowledge of the conservation sector; regional experience; demonstrated success in similar assignments</w:t>
            </w:r>
          </w:p>
        </w:tc>
        <w:tc>
          <w:tcPr>
            <w:tcW w:w="802" w:type="dxa"/>
            <w:shd w:val="clear" w:color="auto" w:fill="auto"/>
            <w:vAlign w:val="center"/>
          </w:tcPr>
          <w:p w14:paraId="0000007D">
            <w:pPr>
              <w:jc w:val="both"/>
            </w:pPr>
            <w:r>
              <w:t>30%</w:t>
            </w:r>
          </w:p>
        </w:tc>
      </w:tr>
      <w:tr w14:paraId="2DEDB8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c>
          <w:tcPr>
            <w:tcW w:w="2018" w:type="dxa"/>
            <w:shd w:val="clear" w:color="auto" w:fill="auto"/>
            <w:vAlign w:val="center"/>
          </w:tcPr>
          <w:p w14:paraId="0000007E">
            <w:pPr>
              <w:jc w:val="both"/>
            </w:pPr>
            <w:r>
              <w:t>Conservation Context</w:t>
            </w:r>
          </w:p>
        </w:tc>
        <w:tc>
          <w:tcPr>
            <w:tcW w:w="6980" w:type="dxa"/>
            <w:shd w:val="clear" w:color="auto" w:fill="auto"/>
            <w:vAlign w:val="center"/>
          </w:tcPr>
          <w:p w14:paraId="0000007F">
            <w:pPr>
              <w:jc w:val="both"/>
            </w:pPr>
            <w:r>
              <w:t>Understanding of gorilla conservation challenges; familiarity with transboundary conservation; knowledge of regional dynamics</w:t>
            </w:r>
          </w:p>
        </w:tc>
        <w:tc>
          <w:tcPr>
            <w:tcW w:w="802" w:type="dxa"/>
            <w:shd w:val="clear" w:color="auto" w:fill="auto"/>
            <w:vAlign w:val="center"/>
          </w:tcPr>
          <w:p w14:paraId="00000080">
            <w:pPr>
              <w:jc w:val="both"/>
            </w:pPr>
            <w:r>
              <w:t>15%</w:t>
            </w:r>
          </w:p>
        </w:tc>
      </w:tr>
      <w:tr w14:paraId="13D40C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c>
          <w:tcPr>
            <w:tcW w:w="2018" w:type="dxa"/>
            <w:shd w:val="clear" w:color="auto" w:fill="auto"/>
            <w:vAlign w:val="center"/>
          </w:tcPr>
          <w:p w14:paraId="00000081">
            <w:pPr>
              <w:jc w:val="both"/>
            </w:pPr>
            <w:r>
              <w:t>Cost-effectiveness</w:t>
            </w:r>
          </w:p>
        </w:tc>
        <w:tc>
          <w:tcPr>
            <w:tcW w:w="6980" w:type="dxa"/>
            <w:shd w:val="clear" w:color="auto" w:fill="auto"/>
            <w:vAlign w:val="center"/>
          </w:tcPr>
          <w:p w14:paraId="00000082">
            <w:pPr>
              <w:jc w:val="both"/>
            </w:pPr>
            <w:r>
              <w:t>Value for money; realistic budget allocation; efficiency in resource utilization</w:t>
            </w:r>
          </w:p>
        </w:tc>
        <w:tc>
          <w:tcPr>
            <w:tcW w:w="802" w:type="dxa"/>
            <w:shd w:val="clear" w:color="auto" w:fill="auto"/>
            <w:vAlign w:val="center"/>
          </w:tcPr>
          <w:p w14:paraId="00000083">
            <w:pPr>
              <w:jc w:val="both"/>
            </w:pPr>
            <w:r>
              <w:t>15%</w:t>
            </w:r>
          </w:p>
        </w:tc>
      </w:tr>
    </w:tbl>
    <w:p w14:paraId="43E51FAD">
      <w:pPr>
        <w:jc w:val="both"/>
        <w:rPr>
          <w:b/>
        </w:rPr>
      </w:pPr>
    </w:p>
    <w:p w14:paraId="00000085">
      <w:pPr>
        <w:jc w:val="both"/>
        <w:rPr>
          <w:b/>
        </w:rPr>
      </w:pPr>
      <w:r>
        <w:rPr>
          <w:b/>
        </w:rPr>
        <w:t>10. Governance, Oversight and Communication</w:t>
      </w:r>
    </w:p>
    <w:p w14:paraId="00000086">
      <w:pPr>
        <w:jc w:val="both"/>
      </w:pPr>
      <w:r>
        <w:t>The consultant will report directly to the IGCP Director and will work closely with the Strategic Planning Task Force. The process will be overseen by the IGCP Steering Committee, ensuring alignment with organizational priorities. A Strategic Planning Task Force comprising representatives from key coalition members will provide technical guidance throughout the process. The consultant will provide weekly email updates on progress, participate in bi-weekly virtual check-in meetings with the IGCP Director, and submit monthly progress reports (2-3 pages). Each major deliverable will be formally presented to the relevant oversight body, and the consultant is expected to immediately notify IGCP of any challenges or delays that may affect the timeline or quality of outputs.</w:t>
      </w:r>
    </w:p>
    <w:p w14:paraId="00000087">
      <w:pPr>
        <w:jc w:val="both"/>
        <w:rPr>
          <w:b/>
        </w:rPr>
      </w:pPr>
      <w:r>
        <w:rPr>
          <w:b/>
        </w:rPr>
        <w:t>11. Application Process</w:t>
      </w:r>
    </w:p>
    <w:p w14:paraId="00000088">
      <w:pPr>
        <w:jc w:val="both"/>
      </w:pPr>
      <w:r>
        <w:t>Interested consultants or firms are invited to submit a comprehensive application package that demonstrates their suitability for this assignment. The application must include:</w:t>
      </w:r>
    </w:p>
    <w:p w14:paraId="00000089">
      <w:pPr>
        <w:numPr>
          <w:ilvl w:val="0"/>
          <w:numId w:val="8"/>
        </w:numPr>
        <w:spacing w:after="120" w:line="276" w:lineRule="auto"/>
        <w:jc w:val="both"/>
      </w:pPr>
      <w:r>
        <w:rPr>
          <w:b/>
        </w:rPr>
        <w:t>Technical Proposal</w:t>
      </w:r>
      <w:r>
        <w:t xml:space="preserve"> (maximum 10 pages): This should clearly articulate the consultant's understanding of the assignment, proposed methodology, conceptual framework, work plan with timeline, and team composition (if applicable). The proposal should demonstrate how the consultant will address each component of the scope of work and achieve the desired outcomes.</w:t>
      </w:r>
    </w:p>
    <w:p w14:paraId="0000008A">
      <w:pPr>
        <w:numPr>
          <w:ilvl w:val="0"/>
          <w:numId w:val="8"/>
        </w:numPr>
        <w:spacing w:after="120" w:line="276" w:lineRule="auto"/>
        <w:jc w:val="both"/>
      </w:pPr>
      <w:r>
        <w:rPr>
          <w:b/>
        </w:rPr>
        <w:t>Financial Proposal</w:t>
      </w:r>
      <w:r>
        <w:t>: A detailed budget breakdown showing all costs associated with the assignment, including professional fees (daily rates and number of days), travel expenses, workshop costs, report production, and any other relevant expenses. The budget should be realistic and demonstrate value for money.</w:t>
      </w:r>
    </w:p>
    <w:p w14:paraId="0000008B">
      <w:pPr>
        <w:numPr>
          <w:ilvl w:val="0"/>
          <w:numId w:val="8"/>
        </w:numPr>
        <w:spacing w:after="120" w:line="276" w:lineRule="auto"/>
        <w:jc w:val="both"/>
      </w:pPr>
      <w:r>
        <w:rPr>
          <w:b/>
        </w:rPr>
        <w:t>Consultant Profile</w:t>
      </w:r>
      <w:r>
        <w:t>: Complete CVs of the lead consultant and any team members who will be involved in the assignment. CVs should highlight relevant qualifications, experience in strategic planning, and knowledge of conservation issues.</w:t>
      </w:r>
    </w:p>
    <w:p w14:paraId="0000008C">
      <w:pPr>
        <w:numPr>
          <w:ilvl w:val="0"/>
          <w:numId w:val="8"/>
        </w:numPr>
        <w:spacing w:after="120" w:line="276" w:lineRule="auto"/>
        <w:jc w:val="both"/>
      </w:pPr>
      <w:r>
        <w:rPr>
          <w:b/>
        </w:rPr>
        <w:t>Portfolio of Work</w:t>
      </w:r>
      <w:r>
        <w:t>: At least two samples of previous strategic plans or similar documents developed by the consultant, along with a brief description of the consultant's role in developing these documents.</w:t>
      </w:r>
    </w:p>
    <w:p w14:paraId="0000008D">
      <w:pPr>
        <w:numPr>
          <w:ilvl w:val="0"/>
          <w:numId w:val="8"/>
        </w:numPr>
        <w:spacing w:after="120" w:line="276" w:lineRule="auto"/>
        <w:jc w:val="both"/>
      </w:pPr>
      <w:r>
        <w:rPr>
          <w:b/>
        </w:rPr>
        <w:t>References</w:t>
      </w:r>
      <w:r>
        <w:t>: Contact information for three professional references who can speak about the consultant's experience and performance in similar assignments. References should include name, organization, position, relationship with the consultant, email address, and phone number.</w:t>
      </w:r>
    </w:p>
    <w:p w14:paraId="40E360A3">
      <w:pPr>
        <w:jc w:val="both"/>
      </w:pPr>
      <w:r>
        <w:rPr>
          <w:b/>
          <w:bCs/>
        </w:rPr>
        <w:t xml:space="preserve">Applications must be submitted electronically to </w:t>
      </w:r>
      <w:r>
        <w:fldChar w:fldCharType="begin"/>
      </w:r>
      <w:r>
        <w:instrText xml:space="preserve"> HYPERLINK "mailto:procurement@igcp.org" \h </w:instrText>
      </w:r>
      <w:r>
        <w:fldChar w:fldCharType="separate"/>
      </w:r>
      <w:r>
        <w:rPr>
          <w:b/>
          <w:bCs/>
          <w:color w:val="467886"/>
          <w:u w:val="single"/>
        </w:rPr>
        <w:t>procurement@igcp.org</w:t>
      </w:r>
      <w:r>
        <w:rPr>
          <w:b/>
          <w:bCs/>
          <w:color w:val="467886"/>
          <w:u w:val="single"/>
        </w:rPr>
        <w:fldChar w:fldCharType="end"/>
      </w:r>
      <w:r>
        <w:rPr>
          <w:b/>
          <w:bCs/>
        </w:rPr>
        <w:t xml:space="preserve"> with the subject line "IGCP Strategic Planning Consultancy" no later than July 18, 2025.</w:t>
      </w:r>
      <w:r>
        <w:t xml:space="preserve"> Late or incomplete applications will not be considered. </w:t>
      </w:r>
    </w:p>
    <w:p w14:paraId="0000008E">
      <w:pPr>
        <w:jc w:val="both"/>
      </w:pPr>
      <w:r>
        <w:t xml:space="preserve">Questions or requests for clarification may be directed to </w:t>
      </w:r>
      <w:r>
        <w:rPr>
          <w:b/>
        </w:rPr>
        <w:t>Wellard Makambo</w:t>
      </w:r>
      <w:r>
        <w:t xml:space="preserve"> at </w:t>
      </w:r>
      <w:r>
        <w:fldChar w:fldCharType="begin"/>
      </w:r>
      <w:r>
        <w:instrText xml:space="preserve"> HYPERLINK "mailto:wmakambo@igcp.org" \h </w:instrText>
      </w:r>
      <w:r>
        <w:fldChar w:fldCharType="separate"/>
      </w:r>
      <w:r>
        <w:rPr>
          <w:color w:val="467886"/>
          <w:u w:val="single"/>
        </w:rPr>
        <w:t>wmakambo@igcp.org</w:t>
      </w:r>
      <w:r>
        <w:rPr>
          <w:color w:val="467886"/>
          <w:u w:val="single"/>
        </w:rPr>
        <w:fldChar w:fldCharType="end"/>
      </w:r>
      <w:r>
        <w:t xml:space="preserve"> no later than July 11, 2025 (1 week before deadline). All questions and answers will be shared with all potential applicants.</w:t>
      </w:r>
    </w:p>
    <w:p w14:paraId="00000090">
      <w:pPr>
        <w:jc w:val="both"/>
      </w:pPr>
      <w:r>
        <w:t>Shortlisted candidates may be invited for an interview or requested to make a presentation on their proposed approach before final selection. IGCP reserves the right to negotiate terms with the selected consultant before finalizing the contract.</w:t>
      </w:r>
    </w:p>
    <w:p w14:paraId="2A9C13C9">
      <w:r>
        <w:br w:type="textWrapping"/>
      </w:r>
    </w:p>
    <w:p w14:paraId="5CACBDA7">
      <w:pPr>
        <w:jc w:val="both"/>
      </w:pPr>
    </w:p>
    <w:p w14:paraId="00000092">
      <w:pPr>
        <w:jc w:val="both"/>
      </w:pPr>
    </w:p>
    <w:sectPr>
      <w:footerReference r:id="rId5" w:type="default"/>
      <w:pgSz w:w="12240" w:h="15840"/>
      <w:pgMar w:top="1440" w:right="1260" w:bottom="1440" w:left="1170"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8DEBF3AE-FBF8-43D5-8A55-85EB730D712F}"/>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7F378A7B-D181-4A24-B2C1-7E9E205A44A1}"/>
  </w:font>
  <w:font w:name="Wingdings">
    <w:panose1 w:val="05000000000000000000"/>
    <w:charset w:val="02"/>
    <w:family w:val="auto"/>
    <w:pitch w:val="default"/>
    <w:sig w:usb0="00000000" w:usb1="00000000" w:usb2="00000000" w:usb3="00000000" w:csb0="80000000" w:csb1="00000000"/>
    <w:embedRegular r:id="rId3" w:fontKey="{50BA2D3B-1B22-4220-82F9-7C526426E70F}"/>
  </w:font>
  <w:font w:name="Calibri">
    <w:panose1 w:val="020F0502020204030204"/>
    <w:charset w:val="00"/>
    <w:family w:val="swiss"/>
    <w:pitch w:val="default"/>
    <w:sig w:usb0="E4002EFF" w:usb1="C200247B" w:usb2="00000009" w:usb3="00000000" w:csb0="200001FF" w:csb1="00000000"/>
    <w:embedRegular r:id="rId4" w:fontKey="{B81F85E2-BD49-4888-8535-F186D65C2145}"/>
  </w:font>
  <w:font w:name="等线">
    <w:altName w:val="Microsoft YaHei"/>
    <w:panose1 w:val="00000000000000000000"/>
    <w:charset w:val="86"/>
    <w:family w:val="auto"/>
    <w:pitch w:val="default"/>
    <w:sig w:usb0="00000000" w:usb1="00000000" w:usb2="00000000" w:usb3="00000000" w:csb0="00000000" w:csb1="00000000"/>
  </w:font>
  <w:font w:name="Aptos">
    <w:panose1 w:val="020B0004020202020204"/>
    <w:charset w:val="86"/>
    <w:family w:val="swiss"/>
    <w:pitch w:val="default"/>
    <w:sig w:usb0="20000287" w:usb1="00000003" w:usb2="00000000" w:usb3="00000000" w:csb0="2000019F" w:csb1="00000000"/>
    <w:embedRegular r:id="rId5" w:fontKey="{7C71D79A-0F8A-4C81-A958-63F18867B16D}"/>
  </w:font>
  <w:font w:name="Aptos Display">
    <w:panose1 w:val="020B0004020202020204"/>
    <w:charset w:val="00"/>
    <w:family w:val="swiss"/>
    <w:pitch w:val="default"/>
    <w:sig w:usb0="20000287" w:usb1="00000003" w:usb2="00000000" w:usb3="00000000" w:csb0="2000019F" w:csb1="00000000"/>
    <w:embedRegular r:id="rId6" w:fontKey="{6EE09EAC-4F45-481D-84FA-B20A5D30C67B}"/>
  </w:font>
  <w:font w:name="等线 Light">
    <w:altName w:val="Segoe Print"/>
    <w:panose1 w:val="00000000000000000000"/>
    <w:charset w:val="00"/>
    <w:family w:val="auto"/>
    <w:pitch w:val="default"/>
    <w:sig w:usb0="00000000" w:usb1="00000000" w:usb2="00000000" w:usb3="00000000" w:csb0="00000000" w:csb1="00000000"/>
  </w:font>
  <w:font w:name="Cambria">
    <w:panose1 w:val="02040503050406030204"/>
    <w:charset w:val="00"/>
    <w:family w:val="roman"/>
    <w:pitch w:val="default"/>
    <w:sig w:usb0="E00006FF" w:usb1="420024FF" w:usb2="02000000" w:usb3="00000000" w:csb0="2000019F" w:csb1="00000000"/>
    <w:embedRegular r:id="rId7" w:fontKey="{96ADE1E1-F50A-4245-85BC-30C5ECF7396F}"/>
  </w:font>
  <w:font w:name="Helvetica Neue">
    <w:altName w:val="Times New Roman"/>
    <w:panose1 w:val="00000000000000000000"/>
    <w:charset w:val="00"/>
    <w:family w:val="auto"/>
    <w:pitch w:val="default"/>
    <w:sig w:usb0="00000000" w:usb1="00000000" w:usb2="00000000" w:usb3="00000000" w:csb0="00000000" w:csb1="00000000"/>
  </w:font>
  <w:font w:name="Noto Sans Symbols">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embedRegular r:id="rId8" w:fontKey="{0CAC4BAD-4AE6-43DE-8654-A47D6D561D21}"/>
  </w:font>
  <w:font w:name="Microsoft YaHei">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50930837"/>
      <w:docPartObj>
        <w:docPartGallery w:val="AutoText"/>
      </w:docPartObj>
    </w:sdtPr>
    <w:sdtEndPr>
      <w:rPr>
        <w:b/>
        <w:bCs/>
      </w:rPr>
    </w:sdtEndPr>
    <w:sdtContent>
      <w:p w14:paraId="72B0C393">
        <w:pPr>
          <w:pStyle w:val="16"/>
          <w:jc w:val="center"/>
          <w:rPr>
            <w:b/>
            <w:bCs/>
          </w:rPr>
        </w:pPr>
        <w:r>
          <w:rPr>
            <w:b/>
            <w:bCs/>
          </w:rPr>
          <w:t xml:space="preserve">Page </w:t>
        </w:r>
        <w:r>
          <w:rPr>
            <w:b/>
            <w:bCs/>
          </w:rPr>
          <w:fldChar w:fldCharType="begin"/>
        </w:r>
        <w:r>
          <w:rPr>
            <w:b/>
            <w:bCs/>
          </w:rPr>
          <w:instrText xml:space="preserve"> PAGE   \* MERGEFORMAT </w:instrText>
        </w:r>
        <w:r>
          <w:rPr>
            <w:b/>
            <w:bCs/>
          </w:rPr>
          <w:fldChar w:fldCharType="separate"/>
        </w:r>
        <w:r>
          <w:rPr>
            <w:b/>
            <w:bCs/>
          </w:rPr>
          <w:t>2</w:t>
        </w:r>
        <w:r>
          <w:rPr>
            <w:b/>
            <w:bCs/>
          </w:rPr>
          <w:fldChar w:fldCharType="end"/>
        </w:r>
      </w:p>
    </w:sdtContent>
  </w:sdt>
  <w:p w14:paraId="22A469B4">
    <w:pPr>
      <w:pStyle w:val="1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69071B1"/>
    <w:multiLevelType w:val="multilevel"/>
    <w:tmpl w:val="069071B1"/>
    <w:lvl w:ilvl="0" w:tentative="0">
      <w:start w:val="1"/>
      <w:numFmt w:val="bullet"/>
      <w:lvlText w:val="●"/>
      <w:lvlJc w:val="left"/>
      <w:pPr>
        <w:ind w:left="720" w:hanging="360"/>
      </w:pPr>
      <w:rPr>
        <w:rFonts w:ascii="Noto Sans Symbols" w:hAnsi="Noto Sans Symbols" w:eastAsia="Noto Sans Symbols" w:cs="Noto Sans Symbols"/>
        <w:sz w:val="20"/>
        <w:szCs w:val="20"/>
      </w:rPr>
    </w:lvl>
    <w:lvl w:ilvl="1" w:tentative="0">
      <w:start w:val="1"/>
      <w:numFmt w:val="bullet"/>
      <w:lvlText w:val="o"/>
      <w:lvlJc w:val="left"/>
      <w:pPr>
        <w:ind w:left="1440" w:hanging="360"/>
      </w:pPr>
      <w:rPr>
        <w:rFonts w:ascii="Courier New" w:hAnsi="Courier New" w:eastAsia="Courier New" w:cs="Courier New"/>
        <w:sz w:val="20"/>
        <w:szCs w:val="20"/>
      </w:rPr>
    </w:lvl>
    <w:lvl w:ilvl="2" w:tentative="0">
      <w:start w:val="1"/>
      <w:numFmt w:val="bullet"/>
      <w:lvlText w:val="▪"/>
      <w:lvlJc w:val="left"/>
      <w:pPr>
        <w:ind w:left="2160" w:hanging="360"/>
      </w:pPr>
      <w:rPr>
        <w:rFonts w:ascii="Noto Sans Symbols" w:hAnsi="Noto Sans Symbols" w:eastAsia="Noto Sans Symbols" w:cs="Noto Sans Symbols"/>
        <w:sz w:val="20"/>
        <w:szCs w:val="20"/>
      </w:rPr>
    </w:lvl>
    <w:lvl w:ilvl="3" w:tentative="0">
      <w:start w:val="1"/>
      <w:numFmt w:val="bullet"/>
      <w:lvlText w:val="▪"/>
      <w:lvlJc w:val="left"/>
      <w:pPr>
        <w:ind w:left="2880" w:hanging="360"/>
      </w:pPr>
      <w:rPr>
        <w:rFonts w:ascii="Noto Sans Symbols" w:hAnsi="Noto Sans Symbols" w:eastAsia="Noto Sans Symbols" w:cs="Noto Sans Symbols"/>
        <w:sz w:val="20"/>
        <w:szCs w:val="20"/>
      </w:rPr>
    </w:lvl>
    <w:lvl w:ilvl="4" w:tentative="0">
      <w:start w:val="1"/>
      <w:numFmt w:val="bullet"/>
      <w:lvlText w:val="▪"/>
      <w:lvlJc w:val="left"/>
      <w:pPr>
        <w:ind w:left="3600" w:hanging="360"/>
      </w:pPr>
      <w:rPr>
        <w:rFonts w:ascii="Noto Sans Symbols" w:hAnsi="Noto Sans Symbols" w:eastAsia="Noto Sans Symbols" w:cs="Noto Sans Symbols"/>
        <w:sz w:val="20"/>
        <w:szCs w:val="20"/>
      </w:rPr>
    </w:lvl>
    <w:lvl w:ilvl="5" w:tentative="0">
      <w:start w:val="1"/>
      <w:numFmt w:val="bullet"/>
      <w:lvlText w:val="▪"/>
      <w:lvlJc w:val="left"/>
      <w:pPr>
        <w:ind w:left="4320" w:hanging="360"/>
      </w:pPr>
      <w:rPr>
        <w:rFonts w:ascii="Noto Sans Symbols" w:hAnsi="Noto Sans Symbols" w:eastAsia="Noto Sans Symbols" w:cs="Noto Sans Symbols"/>
        <w:sz w:val="20"/>
        <w:szCs w:val="20"/>
      </w:rPr>
    </w:lvl>
    <w:lvl w:ilvl="6" w:tentative="0">
      <w:start w:val="1"/>
      <w:numFmt w:val="bullet"/>
      <w:lvlText w:val="▪"/>
      <w:lvlJc w:val="left"/>
      <w:pPr>
        <w:ind w:left="5040" w:hanging="360"/>
      </w:pPr>
      <w:rPr>
        <w:rFonts w:ascii="Noto Sans Symbols" w:hAnsi="Noto Sans Symbols" w:eastAsia="Noto Sans Symbols" w:cs="Noto Sans Symbols"/>
        <w:sz w:val="20"/>
        <w:szCs w:val="20"/>
      </w:rPr>
    </w:lvl>
    <w:lvl w:ilvl="7" w:tentative="0">
      <w:start w:val="1"/>
      <w:numFmt w:val="bullet"/>
      <w:lvlText w:val="▪"/>
      <w:lvlJc w:val="left"/>
      <w:pPr>
        <w:ind w:left="5760" w:hanging="360"/>
      </w:pPr>
      <w:rPr>
        <w:rFonts w:ascii="Noto Sans Symbols" w:hAnsi="Noto Sans Symbols" w:eastAsia="Noto Sans Symbols" w:cs="Noto Sans Symbols"/>
        <w:sz w:val="20"/>
        <w:szCs w:val="20"/>
      </w:rPr>
    </w:lvl>
    <w:lvl w:ilvl="8" w:tentative="0">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1">
    <w:nsid w:val="0FDC18EF"/>
    <w:multiLevelType w:val="multilevel"/>
    <w:tmpl w:val="0FDC18EF"/>
    <w:lvl w:ilvl="0" w:tentative="0">
      <w:start w:val="1"/>
      <w:numFmt w:val="bullet"/>
      <w:lvlText w:val="●"/>
      <w:lvlJc w:val="left"/>
      <w:pPr>
        <w:ind w:left="720" w:hanging="360"/>
      </w:pPr>
      <w:rPr>
        <w:rFonts w:ascii="Noto Sans Symbols" w:hAnsi="Noto Sans Symbols" w:eastAsia="Noto Sans Symbols" w:cs="Noto Sans Symbols"/>
        <w:sz w:val="20"/>
        <w:szCs w:val="20"/>
      </w:rPr>
    </w:lvl>
    <w:lvl w:ilvl="1" w:tentative="0">
      <w:start w:val="1"/>
      <w:numFmt w:val="lowerLetter"/>
      <w:lvlText w:val="%2."/>
      <w:lvlJc w:val="left"/>
      <w:pPr>
        <w:ind w:left="1440" w:hanging="360"/>
      </w:pPr>
    </w:lvl>
    <w:lvl w:ilvl="2" w:tentative="0">
      <w:start w:val="1"/>
      <w:numFmt w:val="bullet"/>
      <w:lvlText w:val="▪"/>
      <w:lvlJc w:val="left"/>
      <w:pPr>
        <w:ind w:left="2160" w:hanging="360"/>
      </w:pPr>
      <w:rPr>
        <w:rFonts w:ascii="Noto Sans Symbols" w:hAnsi="Noto Sans Symbols" w:eastAsia="Noto Sans Symbols" w:cs="Noto Sans Symbols"/>
        <w:sz w:val="20"/>
        <w:szCs w:val="20"/>
      </w:rPr>
    </w:lvl>
    <w:lvl w:ilvl="3" w:tentative="0">
      <w:start w:val="1"/>
      <w:numFmt w:val="bullet"/>
      <w:lvlText w:val="▪"/>
      <w:lvlJc w:val="left"/>
      <w:pPr>
        <w:ind w:left="2880" w:hanging="360"/>
      </w:pPr>
      <w:rPr>
        <w:rFonts w:ascii="Noto Sans Symbols" w:hAnsi="Noto Sans Symbols" w:eastAsia="Noto Sans Symbols" w:cs="Noto Sans Symbols"/>
        <w:sz w:val="20"/>
        <w:szCs w:val="20"/>
      </w:rPr>
    </w:lvl>
    <w:lvl w:ilvl="4" w:tentative="0">
      <w:start w:val="1"/>
      <w:numFmt w:val="bullet"/>
      <w:lvlText w:val="▪"/>
      <w:lvlJc w:val="left"/>
      <w:pPr>
        <w:ind w:left="3600" w:hanging="360"/>
      </w:pPr>
      <w:rPr>
        <w:rFonts w:ascii="Noto Sans Symbols" w:hAnsi="Noto Sans Symbols" w:eastAsia="Noto Sans Symbols" w:cs="Noto Sans Symbols"/>
        <w:sz w:val="20"/>
        <w:szCs w:val="20"/>
      </w:rPr>
    </w:lvl>
    <w:lvl w:ilvl="5" w:tentative="0">
      <w:start w:val="1"/>
      <w:numFmt w:val="bullet"/>
      <w:lvlText w:val="▪"/>
      <w:lvlJc w:val="left"/>
      <w:pPr>
        <w:ind w:left="4320" w:hanging="360"/>
      </w:pPr>
      <w:rPr>
        <w:rFonts w:ascii="Noto Sans Symbols" w:hAnsi="Noto Sans Symbols" w:eastAsia="Noto Sans Symbols" w:cs="Noto Sans Symbols"/>
        <w:sz w:val="20"/>
        <w:szCs w:val="20"/>
      </w:rPr>
    </w:lvl>
    <w:lvl w:ilvl="6" w:tentative="0">
      <w:start w:val="1"/>
      <w:numFmt w:val="bullet"/>
      <w:lvlText w:val="▪"/>
      <w:lvlJc w:val="left"/>
      <w:pPr>
        <w:ind w:left="5040" w:hanging="360"/>
      </w:pPr>
      <w:rPr>
        <w:rFonts w:ascii="Noto Sans Symbols" w:hAnsi="Noto Sans Symbols" w:eastAsia="Noto Sans Symbols" w:cs="Noto Sans Symbols"/>
        <w:sz w:val="20"/>
        <w:szCs w:val="20"/>
      </w:rPr>
    </w:lvl>
    <w:lvl w:ilvl="7" w:tentative="0">
      <w:start w:val="1"/>
      <w:numFmt w:val="bullet"/>
      <w:lvlText w:val="▪"/>
      <w:lvlJc w:val="left"/>
      <w:pPr>
        <w:ind w:left="5760" w:hanging="360"/>
      </w:pPr>
      <w:rPr>
        <w:rFonts w:ascii="Noto Sans Symbols" w:hAnsi="Noto Sans Symbols" w:eastAsia="Noto Sans Symbols" w:cs="Noto Sans Symbols"/>
        <w:sz w:val="20"/>
        <w:szCs w:val="20"/>
      </w:rPr>
    </w:lvl>
    <w:lvl w:ilvl="8" w:tentative="0">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2">
    <w:nsid w:val="21852DA5"/>
    <w:multiLevelType w:val="multilevel"/>
    <w:tmpl w:val="21852DA5"/>
    <w:lvl w:ilvl="0" w:tentative="0">
      <w:start w:val="1"/>
      <w:numFmt w:val="decimal"/>
      <w:lvlText w:val="%1."/>
      <w:lvlJc w:val="left"/>
      <w:pPr>
        <w:ind w:left="720" w:hanging="360"/>
      </w:pPr>
      <w:rPr>
        <w:b/>
      </w:rPr>
    </w:lvl>
    <w:lvl w:ilvl="1" w:tentative="0">
      <w:start w:val="1"/>
      <w:numFmt w:val="decimal"/>
      <w:lvlText w:val="%1.%2."/>
      <w:lvlJc w:val="left"/>
      <w:pPr>
        <w:ind w:left="720" w:hanging="360"/>
      </w:pPr>
    </w:lvl>
    <w:lvl w:ilvl="2" w:tentative="0">
      <w:start w:val="1"/>
      <w:numFmt w:val="decimal"/>
      <w:lvlText w:val="%1.%2.%3."/>
      <w:lvlJc w:val="left"/>
      <w:pPr>
        <w:ind w:left="1080" w:hanging="720"/>
      </w:pPr>
    </w:lvl>
    <w:lvl w:ilvl="3" w:tentative="0">
      <w:start w:val="1"/>
      <w:numFmt w:val="decimal"/>
      <w:lvlText w:val="%1.%2.%3.%4."/>
      <w:lvlJc w:val="left"/>
      <w:pPr>
        <w:ind w:left="1080" w:hanging="720"/>
      </w:pPr>
    </w:lvl>
    <w:lvl w:ilvl="4" w:tentative="0">
      <w:start w:val="1"/>
      <w:numFmt w:val="decimal"/>
      <w:lvlText w:val="%1.%2.%3.%4.%5."/>
      <w:lvlJc w:val="left"/>
      <w:pPr>
        <w:ind w:left="1440" w:hanging="1080"/>
      </w:pPr>
    </w:lvl>
    <w:lvl w:ilvl="5" w:tentative="0">
      <w:start w:val="1"/>
      <w:numFmt w:val="decimal"/>
      <w:lvlText w:val="%1.%2.%3.%4.%5.%6."/>
      <w:lvlJc w:val="left"/>
      <w:pPr>
        <w:ind w:left="1440" w:hanging="1080"/>
      </w:pPr>
    </w:lvl>
    <w:lvl w:ilvl="6" w:tentative="0">
      <w:start w:val="1"/>
      <w:numFmt w:val="decimal"/>
      <w:lvlText w:val="%1.%2.%3.%4.%5.%6.%7."/>
      <w:lvlJc w:val="left"/>
      <w:pPr>
        <w:ind w:left="1800" w:hanging="1440"/>
      </w:pPr>
    </w:lvl>
    <w:lvl w:ilvl="7" w:tentative="0">
      <w:start w:val="1"/>
      <w:numFmt w:val="decimal"/>
      <w:lvlText w:val="%1.%2.%3.%4.%5.%6.%7.%8."/>
      <w:lvlJc w:val="left"/>
      <w:pPr>
        <w:ind w:left="1800" w:hanging="1440"/>
      </w:pPr>
    </w:lvl>
    <w:lvl w:ilvl="8" w:tentative="0">
      <w:start w:val="1"/>
      <w:numFmt w:val="decimal"/>
      <w:lvlText w:val="%1.%2.%3.%4.%5.%6.%7.%8.%9."/>
      <w:lvlJc w:val="left"/>
      <w:pPr>
        <w:ind w:left="2160" w:hanging="1800"/>
      </w:pPr>
    </w:lvl>
  </w:abstractNum>
  <w:abstractNum w:abstractNumId="3">
    <w:nsid w:val="3A896C5B"/>
    <w:multiLevelType w:val="multilevel"/>
    <w:tmpl w:val="3A896C5B"/>
    <w:lvl w:ilvl="0" w:tentative="0">
      <w:start w:val="1"/>
      <w:numFmt w:val="bullet"/>
      <w:lvlText w:val="●"/>
      <w:lvlJc w:val="left"/>
      <w:pPr>
        <w:ind w:left="720" w:hanging="360"/>
      </w:pPr>
      <w:rPr>
        <w:rFonts w:ascii="Noto Sans Symbols" w:hAnsi="Noto Sans Symbols" w:eastAsia="Noto Sans Symbols" w:cs="Noto Sans Symbols"/>
        <w:sz w:val="20"/>
        <w:szCs w:val="20"/>
      </w:rPr>
    </w:lvl>
    <w:lvl w:ilvl="1" w:tentative="0">
      <w:start w:val="1"/>
      <w:numFmt w:val="bullet"/>
      <w:lvlText w:val="o"/>
      <w:lvlJc w:val="left"/>
      <w:pPr>
        <w:ind w:left="1440" w:hanging="360"/>
      </w:pPr>
      <w:rPr>
        <w:rFonts w:ascii="Courier New" w:hAnsi="Courier New" w:eastAsia="Courier New" w:cs="Courier New"/>
        <w:sz w:val="20"/>
        <w:szCs w:val="20"/>
      </w:rPr>
    </w:lvl>
    <w:lvl w:ilvl="2" w:tentative="0">
      <w:start w:val="1"/>
      <w:numFmt w:val="bullet"/>
      <w:lvlText w:val="▪"/>
      <w:lvlJc w:val="left"/>
      <w:pPr>
        <w:ind w:left="2160" w:hanging="360"/>
      </w:pPr>
      <w:rPr>
        <w:rFonts w:ascii="Noto Sans Symbols" w:hAnsi="Noto Sans Symbols" w:eastAsia="Noto Sans Symbols" w:cs="Noto Sans Symbols"/>
        <w:sz w:val="20"/>
        <w:szCs w:val="20"/>
      </w:rPr>
    </w:lvl>
    <w:lvl w:ilvl="3" w:tentative="0">
      <w:start w:val="1"/>
      <w:numFmt w:val="bullet"/>
      <w:lvlText w:val="▪"/>
      <w:lvlJc w:val="left"/>
      <w:pPr>
        <w:ind w:left="2880" w:hanging="360"/>
      </w:pPr>
      <w:rPr>
        <w:rFonts w:ascii="Noto Sans Symbols" w:hAnsi="Noto Sans Symbols" w:eastAsia="Noto Sans Symbols" w:cs="Noto Sans Symbols"/>
        <w:sz w:val="20"/>
        <w:szCs w:val="20"/>
      </w:rPr>
    </w:lvl>
    <w:lvl w:ilvl="4" w:tentative="0">
      <w:start w:val="1"/>
      <w:numFmt w:val="bullet"/>
      <w:lvlText w:val="▪"/>
      <w:lvlJc w:val="left"/>
      <w:pPr>
        <w:ind w:left="3600" w:hanging="360"/>
      </w:pPr>
      <w:rPr>
        <w:rFonts w:ascii="Noto Sans Symbols" w:hAnsi="Noto Sans Symbols" w:eastAsia="Noto Sans Symbols" w:cs="Noto Sans Symbols"/>
        <w:sz w:val="20"/>
        <w:szCs w:val="20"/>
      </w:rPr>
    </w:lvl>
    <w:lvl w:ilvl="5" w:tentative="0">
      <w:start w:val="1"/>
      <w:numFmt w:val="bullet"/>
      <w:lvlText w:val="▪"/>
      <w:lvlJc w:val="left"/>
      <w:pPr>
        <w:ind w:left="4320" w:hanging="360"/>
      </w:pPr>
      <w:rPr>
        <w:rFonts w:ascii="Noto Sans Symbols" w:hAnsi="Noto Sans Symbols" w:eastAsia="Noto Sans Symbols" w:cs="Noto Sans Symbols"/>
        <w:sz w:val="20"/>
        <w:szCs w:val="20"/>
      </w:rPr>
    </w:lvl>
    <w:lvl w:ilvl="6" w:tentative="0">
      <w:start w:val="1"/>
      <w:numFmt w:val="bullet"/>
      <w:lvlText w:val="▪"/>
      <w:lvlJc w:val="left"/>
      <w:pPr>
        <w:ind w:left="5040" w:hanging="360"/>
      </w:pPr>
      <w:rPr>
        <w:rFonts w:ascii="Noto Sans Symbols" w:hAnsi="Noto Sans Symbols" w:eastAsia="Noto Sans Symbols" w:cs="Noto Sans Symbols"/>
        <w:sz w:val="20"/>
        <w:szCs w:val="20"/>
      </w:rPr>
    </w:lvl>
    <w:lvl w:ilvl="7" w:tentative="0">
      <w:start w:val="1"/>
      <w:numFmt w:val="bullet"/>
      <w:lvlText w:val="▪"/>
      <w:lvlJc w:val="left"/>
      <w:pPr>
        <w:ind w:left="5760" w:hanging="360"/>
      </w:pPr>
      <w:rPr>
        <w:rFonts w:ascii="Noto Sans Symbols" w:hAnsi="Noto Sans Symbols" w:eastAsia="Noto Sans Symbols" w:cs="Noto Sans Symbols"/>
        <w:sz w:val="20"/>
        <w:szCs w:val="20"/>
      </w:rPr>
    </w:lvl>
    <w:lvl w:ilvl="8" w:tentative="0">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4">
    <w:nsid w:val="3E993F62"/>
    <w:multiLevelType w:val="multilevel"/>
    <w:tmpl w:val="3E993F62"/>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42A271ED"/>
    <w:multiLevelType w:val="multilevel"/>
    <w:tmpl w:val="42A271ED"/>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4F3F7AB5"/>
    <w:multiLevelType w:val="multilevel"/>
    <w:tmpl w:val="4F3F7AB5"/>
    <w:lvl w:ilvl="0" w:tentative="0">
      <w:start w:val="1"/>
      <w:numFmt w:val="bullet"/>
      <w:lvlText w:val="●"/>
      <w:lvlJc w:val="left"/>
      <w:pPr>
        <w:ind w:left="720" w:hanging="360"/>
      </w:pPr>
      <w:rPr>
        <w:rFonts w:ascii="Noto Sans Symbols" w:hAnsi="Noto Sans Symbols" w:eastAsia="Noto Sans Symbols" w:cs="Noto Sans Symbols"/>
        <w:sz w:val="20"/>
        <w:szCs w:val="20"/>
      </w:rPr>
    </w:lvl>
    <w:lvl w:ilvl="1" w:tentative="0">
      <w:start w:val="1"/>
      <w:numFmt w:val="bullet"/>
      <w:lvlText w:val="o"/>
      <w:lvlJc w:val="left"/>
      <w:pPr>
        <w:ind w:left="1440" w:hanging="360"/>
      </w:pPr>
      <w:rPr>
        <w:rFonts w:ascii="Courier New" w:hAnsi="Courier New" w:eastAsia="Courier New" w:cs="Courier New"/>
        <w:sz w:val="20"/>
        <w:szCs w:val="20"/>
      </w:rPr>
    </w:lvl>
    <w:lvl w:ilvl="2" w:tentative="0">
      <w:start w:val="1"/>
      <w:numFmt w:val="bullet"/>
      <w:lvlText w:val="▪"/>
      <w:lvlJc w:val="left"/>
      <w:pPr>
        <w:ind w:left="2160" w:hanging="360"/>
      </w:pPr>
      <w:rPr>
        <w:rFonts w:ascii="Noto Sans Symbols" w:hAnsi="Noto Sans Symbols" w:eastAsia="Noto Sans Symbols" w:cs="Noto Sans Symbols"/>
        <w:sz w:val="20"/>
        <w:szCs w:val="20"/>
      </w:rPr>
    </w:lvl>
    <w:lvl w:ilvl="3" w:tentative="0">
      <w:start w:val="1"/>
      <w:numFmt w:val="bullet"/>
      <w:lvlText w:val="▪"/>
      <w:lvlJc w:val="left"/>
      <w:pPr>
        <w:ind w:left="2880" w:hanging="360"/>
      </w:pPr>
      <w:rPr>
        <w:rFonts w:ascii="Noto Sans Symbols" w:hAnsi="Noto Sans Symbols" w:eastAsia="Noto Sans Symbols" w:cs="Noto Sans Symbols"/>
        <w:sz w:val="20"/>
        <w:szCs w:val="20"/>
      </w:rPr>
    </w:lvl>
    <w:lvl w:ilvl="4" w:tentative="0">
      <w:start w:val="1"/>
      <w:numFmt w:val="bullet"/>
      <w:lvlText w:val="▪"/>
      <w:lvlJc w:val="left"/>
      <w:pPr>
        <w:ind w:left="3600" w:hanging="360"/>
      </w:pPr>
      <w:rPr>
        <w:rFonts w:ascii="Noto Sans Symbols" w:hAnsi="Noto Sans Symbols" w:eastAsia="Noto Sans Symbols" w:cs="Noto Sans Symbols"/>
        <w:sz w:val="20"/>
        <w:szCs w:val="20"/>
      </w:rPr>
    </w:lvl>
    <w:lvl w:ilvl="5" w:tentative="0">
      <w:start w:val="1"/>
      <w:numFmt w:val="bullet"/>
      <w:lvlText w:val="▪"/>
      <w:lvlJc w:val="left"/>
      <w:pPr>
        <w:ind w:left="4320" w:hanging="360"/>
      </w:pPr>
      <w:rPr>
        <w:rFonts w:ascii="Noto Sans Symbols" w:hAnsi="Noto Sans Symbols" w:eastAsia="Noto Sans Symbols" w:cs="Noto Sans Symbols"/>
        <w:sz w:val="20"/>
        <w:szCs w:val="20"/>
      </w:rPr>
    </w:lvl>
    <w:lvl w:ilvl="6" w:tentative="0">
      <w:start w:val="1"/>
      <w:numFmt w:val="bullet"/>
      <w:lvlText w:val="▪"/>
      <w:lvlJc w:val="left"/>
      <w:pPr>
        <w:ind w:left="5040" w:hanging="360"/>
      </w:pPr>
      <w:rPr>
        <w:rFonts w:ascii="Noto Sans Symbols" w:hAnsi="Noto Sans Symbols" w:eastAsia="Noto Sans Symbols" w:cs="Noto Sans Symbols"/>
        <w:sz w:val="20"/>
        <w:szCs w:val="20"/>
      </w:rPr>
    </w:lvl>
    <w:lvl w:ilvl="7" w:tentative="0">
      <w:start w:val="1"/>
      <w:numFmt w:val="bullet"/>
      <w:lvlText w:val="▪"/>
      <w:lvlJc w:val="left"/>
      <w:pPr>
        <w:ind w:left="5760" w:hanging="360"/>
      </w:pPr>
      <w:rPr>
        <w:rFonts w:ascii="Noto Sans Symbols" w:hAnsi="Noto Sans Symbols" w:eastAsia="Noto Sans Symbols" w:cs="Noto Sans Symbols"/>
        <w:sz w:val="20"/>
        <w:szCs w:val="20"/>
      </w:rPr>
    </w:lvl>
    <w:lvl w:ilvl="8" w:tentative="0">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7">
    <w:nsid w:val="55A550D8"/>
    <w:multiLevelType w:val="multilevel"/>
    <w:tmpl w:val="55A550D8"/>
    <w:lvl w:ilvl="0" w:tentative="0">
      <w:start w:val="1"/>
      <w:numFmt w:val="decimal"/>
      <w:lvlText w:val="%1."/>
      <w:lvlJc w:val="left"/>
      <w:pPr>
        <w:ind w:left="720" w:hanging="360"/>
      </w:pPr>
    </w:lvl>
    <w:lvl w:ilvl="1" w:tentative="0">
      <w:start w:val="1"/>
      <w:numFmt w:val="decimal"/>
      <w:lvlText w:val="%2."/>
      <w:lvlJc w:val="left"/>
      <w:pPr>
        <w:ind w:left="1440" w:hanging="360"/>
      </w:pPr>
    </w:lvl>
    <w:lvl w:ilvl="2" w:tentative="0">
      <w:start w:val="1"/>
      <w:numFmt w:val="decimal"/>
      <w:lvlText w:val="%3."/>
      <w:lvlJc w:val="left"/>
      <w:pPr>
        <w:ind w:left="2160" w:hanging="360"/>
      </w:pPr>
    </w:lvl>
    <w:lvl w:ilvl="3" w:tentative="0">
      <w:start w:val="1"/>
      <w:numFmt w:val="decimal"/>
      <w:lvlText w:val="%4."/>
      <w:lvlJc w:val="left"/>
      <w:pPr>
        <w:ind w:left="2880" w:hanging="360"/>
      </w:pPr>
    </w:lvl>
    <w:lvl w:ilvl="4" w:tentative="0">
      <w:start w:val="1"/>
      <w:numFmt w:val="decimal"/>
      <w:lvlText w:val="%5."/>
      <w:lvlJc w:val="left"/>
      <w:pPr>
        <w:ind w:left="3600" w:hanging="360"/>
      </w:pPr>
    </w:lvl>
    <w:lvl w:ilvl="5" w:tentative="0">
      <w:start w:val="1"/>
      <w:numFmt w:val="decimal"/>
      <w:lvlText w:val="%6."/>
      <w:lvlJc w:val="left"/>
      <w:pPr>
        <w:ind w:left="4320" w:hanging="360"/>
      </w:pPr>
    </w:lvl>
    <w:lvl w:ilvl="6" w:tentative="0">
      <w:start w:val="1"/>
      <w:numFmt w:val="decimal"/>
      <w:lvlText w:val="%7."/>
      <w:lvlJc w:val="left"/>
      <w:pPr>
        <w:ind w:left="5040" w:hanging="360"/>
      </w:pPr>
    </w:lvl>
    <w:lvl w:ilvl="7" w:tentative="0">
      <w:start w:val="1"/>
      <w:numFmt w:val="decimal"/>
      <w:lvlText w:val="%8."/>
      <w:lvlJc w:val="left"/>
      <w:pPr>
        <w:ind w:left="5760" w:hanging="360"/>
      </w:pPr>
    </w:lvl>
    <w:lvl w:ilvl="8" w:tentative="0">
      <w:start w:val="1"/>
      <w:numFmt w:val="decimal"/>
      <w:lvlText w:val="%9."/>
      <w:lvlJc w:val="left"/>
      <w:pPr>
        <w:ind w:left="6480" w:hanging="360"/>
      </w:pPr>
    </w:lvl>
  </w:abstractNum>
  <w:num w:numId="1">
    <w:abstractNumId w:val="2"/>
  </w:num>
  <w:num w:numId="2">
    <w:abstractNumId w:val="1"/>
  </w:num>
  <w:num w:numId="3">
    <w:abstractNumId w:val="4"/>
  </w:num>
  <w:num w:numId="4">
    <w:abstractNumId w:val="5"/>
  </w:num>
  <w:num w:numId="5">
    <w:abstractNumId w:val="3"/>
  </w:num>
  <w:num w:numId="6">
    <w:abstractNumId w:val="6"/>
  </w:num>
  <w:num w:numId="7">
    <w:abstractNumId w:val="0"/>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1"/>
  <w:embedTrueTypeFonts/>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1255"/>
    <w:rsid w:val="000817DC"/>
    <w:rsid w:val="000F09D5"/>
    <w:rsid w:val="001922AB"/>
    <w:rsid w:val="001C7D32"/>
    <w:rsid w:val="00265947"/>
    <w:rsid w:val="004003B9"/>
    <w:rsid w:val="0040744D"/>
    <w:rsid w:val="00522D4D"/>
    <w:rsid w:val="005563DC"/>
    <w:rsid w:val="006236FA"/>
    <w:rsid w:val="006903F3"/>
    <w:rsid w:val="00781255"/>
    <w:rsid w:val="007E6F8B"/>
    <w:rsid w:val="007E7FCF"/>
    <w:rsid w:val="00855E09"/>
    <w:rsid w:val="00873E1B"/>
    <w:rsid w:val="00882691"/>
    <w:rsid w:val="008936E5"/>
    <w:rsid w:val="008A4067"/>
    <w:rsid w:val="00957CA5"/>
    <w:rsid w:val="009C1395"/>
    <w:rsid w:val="00A20243"/>
    <w:rsid w:val="00A663A7"/>
    <w:rsid w:val="00A66408"/>
    <w:rsid w:val="00AB5D5C"/>
    <w:rsid w:val="00AC3BFA"/>
    <w:rsid w:val="00AD34C6"/>
    <w:rsid w:val="00AE573A"/>
    <w:rsid w:val="00CE2A3C"/>
    <w:rsid w:val="00DF72CC"/>
    <w:rsid w:val="00E67A98"/>
    <w:rsid w:val="00E72C6A"/>
    <w:rsid w:val="00EF646E"/>
    <w:rsid w:val="00F254E1"/>
    <w:rsid w:val="00F60A11"/>
    <w:rsid w:val="00F61BF4"/>
    <w:rsid w:val="1A1B02A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ptos" w:hAnsi="Aptos" w:eastAsia="Aptos" w:cs="Aptos"/>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Aptos" w:hAnsi="Aptos" w:eastAsia="Aptos" w:cs="Aptos"/>
      <w:sz w:val="22"/>
      <w:szCs w:val="22"/>
      <w:lang w:val="en-US" w:eastAsia="en-US" w:bidi="ar-SA"/>
    </w:rPr>
  </w:style>
  <w:style w:type="paragraph" w:styleId="2">
    <w:name w:val="heading 1"/>
    <w:basedOn w:val="1"/>
    <w:next w:val="1"/>
    <w:link w:val="23"/>
    <w:qFormat/>
    <w:uiPriority w:val="9"/>
    <w:pPr>
      <w:keepNext/>
      <w:keepLines/>
      <w:spacing w:before="360" w:after="80"/>
      <w:outlineLvl w:val="0"/>
    </w:pPr>
    <w:rPr>
      <w:rFonts w:asciiTheme="majorHAnsi" w:hAnsiTheme="majorHAnsi" w:eastAsiaTheme="majorEastAsia" w:cstheme="majorBidi"/>
      <w:color w:val="104862" w:themeColor="accent1" w:themeShade="BF"/>
      <w:sz w:val="40"/>
      <w:szCs w:val="40"/>
    </w:rPr>
  </w:style>
  <w:style w:type="paragraph" w:styleId="3">
    <w:name w:val="heading 2"/>
    <w:basedOn w:val="1"/>
    <w:next w:val="1"/>
    <w:link w:val="22"/>
    <w:semiHidden/>
    <w:unhideWhenUsed/>
    <w:qFormat/>
    <w:uiPriority w:val="9"/>
    <w:pPr>
      <w:keepNext/>
      <w:keepLines/>
      <w:spacing w:before="160" w:after="80" w:line="276" w:lineRule="auto"/>
      <w:outlineLvl w:val="1"/>
    </w:pPr>
    <w:rPr>
      <w:rFonts w:asciiTheme="majorHAnsi" w:hAnsiTheme="majorHAnsi" w:eastAsiaTheme="majorEastAsia" w:cstheme="majorBidi"/>
      <w:color w:val="104862" w:themeColor="accent1" w:themeShade="BF"/>
      <w:sz w:val="32"/>
      <w:szCs w:val="32"/>
    </w:rPr>
  </w:style>
  <w:style w:type="paragraph" w:styleId="4">
    <w:name w:val="heading 3"/>
    <w:basedOn w:val="1"/>
    <w:next w:val="1"/>
    <w:link w:val="24"/>
    <w:semiHidden/>
    <w:unhideWhenUsed/>
    <w:qFormat/>
    <w:uiPriority w:val="9"/>
    <w:pPr>
      <w:keepNext/>
      <w:keepLines/>
      <w:spacing w:before="160" w:after="80"/>
      <w:outlineLvl w:val="2"/>
    </w:pPr>
    <w:rPr>
      <w:rFonts w:eastAsiaTheme="majorEastAsia" w:cstheme="majorBidi"/>
      <w:color w:val="104862" w:themeColor="accent1" w:themeShade="BF"/>
      <w:sz w:val="28"/>
      <w:szCs w:val="28"/>
    </w:rPr>
  </w:style>
  <w:style w:type="paragraph" w:styleId="5">
    <w:name w:val="heading 4"/>
    <w:basedOn w:val="1"/>
    <w:next w:val="1"/>
    <w:link w:val="25"/>
    <w:semiHidden/>
    <w:unhideWhenUsed/>
    <w:qFormat/>
    <w:uiPriority w:val="9"/>
    <w:pPr>
      <w:keepNext/>
      <w:keepLines/>
      <w:spacing w:before="80" w:after="40"/>
      <w:outlineLvl w:val="3"/>
    </w:pPr>
    <w:rPr>
      <w:rFonts w:eastAsiaTheme="majorEastAsia" w:cstheme="majorBidi"/>
      <w:i/>
      <w:iCs/>
      <w:color w:val="104862" w:themeColor="accent1" w:themeShade="BF"/>
    </w:rPr>
  </w:style>
  <w:style w:type="paragraph" w:styleId="6">
    <w:name w:val="heading 5"/>
    <w:basedOn w:val="1"/>
    <w:next w:val="1"/>
    <w:link w:val="26"/>
    <w:semiHidden/>
    <w:unhideWhenUsed/>
    <w:qFormat/>
    <w:uiPriority w:val="9"/>
    <w:pPr>
      <w:keepNext/>
      <w:keepLines/>
      <w:spacing w:before="80" w:after="40"/>
      <w:outlineLvl w:val="4"/>
    </w:pPr>
    <w:rPr>
      <w:rFonts w:eastAsiaTheme="majorEastAsia" w:cstheme="majorBidi"/>
      <w:color w:val="104862" w:themeColor="accent1" w:themeShade="BF"/>
    </w:rPr>
  </w:style>
  <w:style w:type="paragraph" w:styleId="7">
    <w:name w:val="heading 6"/>
    <w:basedOn w:val="1"/>
    <w:next w:val="1"/>
    <w:link w:val="27"/>
    <w:semiHidden/>
    <w:unhideWhenUsed/>
    <w:qFormat/>
    <w:uiPriority w:val="9"/>
    <w:pPr>
      <w:keepNext/>
      <w:keepLines/>
      <w:spacing w:before="40" w:after="0"/>
      <w:outlineLvl w:val="5"/>
    </w:pPr>
    <w:rPr>
      <w:rFonts w:eastAsiaTheme="majorEastAsia" w:cstheme="majorBidi"/>
      <w:i/>
      <w:iCs/>
      <w:color w:val="595959" w:themeColor="text1" w:themeTint="A6"/>
      <w14:textFill>
        <w14:solidFill>
          <w14:schemeClr w14:val="tx1">
            <w14:lumMod w14:val="65000"/>
            <w14:lumOff w14:val="35000"/>
          </w14:schemeClr>
        </w14:solidFill>
      </w14:textFill>
    </w:rPr>
  </w:style>
  <w:style w:type="paragraph" w:styleId="8">
    <w:name w:val="heading 7"/>
    <w:basedOn w:val="1"/>
    <w:next w:val="1"/>
    <w:link w:val="28"/>
    <w:semiHidden/>
    <w:unhideWhenUsed/>
    <w:qFormat/>
    <w:uiPriority w:val="9"/>
    <w:pPr>
      <w:keepNext/>
      <w:keepLines/>
      <w:spacing w:before="40" w:after="0"/>
      <w:outlineLvl w:val="6"/>
    </w:pPr>
    <w:rPr>
      <w:rFonts w:eastAsiaTheme="majorEastAsia" w:cstheme="majorBidi"/>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29"/>
    <w:semiHidden/>
    <w:unhideWhenUsed/>
    <w:qFormat/>
    <w:uiPriority w:val="9"/>
    <w:pPr>
      <w:keepNext/>
      <w:keepLines/>
      <w:spacing w:after="0"/>
      <w:outlineLvl w:val="7"/>
    </w:pPr>
    <w:rPr>
      <w:rFonts w:eastAsiaTheme="majorEastAsia" w:cstheme="majorBidi"/>
      <w:i/>
      <w:iCs/>
      <w:color w:val="262626" w:themeColor="text1" w:themeTint="D9"/>
      <w14:textFill>
        <w14:solidFill>
          <w14:schemeClr w14:val="tx1">
            <w14:lumMod w14:val="85000"/>
            <w14:lumOff w14:val="15000"/>
          </w14:schemeClr>
        </w14:solidFill>
      </w14:textFill>
    </w:rPr>
  </w:style>
  <w:style w:type="paragraph" w:styleId="10">
    <w:name w:val="heading 9"/>
    <w:basedOn w:val="1"/>
    <w:next w:val="1"/>
    <w:link w:val="30"/>
    <w:semiHidden/>
    <w:unhideWhenUsed/>
    <w:qFormat/>
    <w:uiPriority w:val="9"/>
    <w:pPr>
      <w:keepNext/>
      <w:keepLines/>
      <w:spacing w:after="0"/>
      <w:outlineLvl w:val="8"/>
    </w:pPr>
    <w:rPr>
      <w:rFonts w:eastAsiaTheme="majorEastAsia" w:cstheme="majorBidi"/>
      <w:color w:val="262626" w:themeColor="text1" w:themeTint="D9"/>
      <w14:textFill>
        <w14:solidFill>
          <w14:schemeClr w14:val="tx1">
            <w14:lumMod w14:val="85000"/>
            <w14:lumOff w14:val="15000"/>
          </w14:schemeClr>
        </w14:solidFill>
      </w14:textFill>
    </w:rPr>
  </w:style>
  <w:style w:type="character" w:default="1" w:styleId="11">
    <w:name w:val="Default Paragraph Font"/>
    <w:semiHidden/>
    <w:unhideWhenUsed/>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annotation reference"/>
    <w:basedOn w:val="11"/>
    <w:semiHidden/>
    <w:unhideWhenUsed/>
    <w:qFormat/>
    <w:uiPriority w:val="99"/>
    <w:rPr>
      <w:sz w:val="16"/>
      <w:szCs w:val="16"/>
    </w:rPr>
  </w:style>
  <w:style w:type="paragraph" w:styleId="14">
    <w:name w:val="annotation text"/>
    <w:basedOn w:val="1"/>
    <w:link w:val="43"/>
    <w:unhideWhenUsed/>
    <w:qFormat/>
    <w:uiPriority w:val="99"/>
    <w:pPr>
      <w:spacing w:line="240" w:lineRule="auto"/>
    </w:pPr>
    <w:rPr>
      <w:sz w:val="20"/>
      <w:szCs w:val="20"/>
    </w:rPr>
  </w:style>
  <w:style w:type="paragraph" w:styleId="15">
    <w:name w:val="annotation subject"/>
    <w:basedOn w:val="14"/>
    <w:next w:val="14"/>
    <w:link w:val="47"/>
    <w:semiHidden/>
    <w:unhideWhenUsed/>
    <w:qFormat/>
    <w:uiPriority w:val="99"/>
    <w:rPr>
      <w:b/>
      <w:bCs/>
    </w:rPr>
  </w:style>
  <w:style w:type="paragraph" w:styleId="16">
    <w:name w:val="footer"/>
    <w:basedOn w:val="1"/>
    <w:link w:val="46"/>
    <w:unhideWhenUsed/>
    <w:qFormat/>
    <w:uiPriority w:val="99"/>
    <w:pPr>
      <w:tabs>
        <w:tab w:val="center" w:pos="4680"/>
        <w:tab w:val="right" w:pos="9360"/>
      </w:tabs>
      <w:spacing w:after="0" w:line="240" w:lineRule="auto"/>
    </w:pPr>
  </w:style>
  <w:style w:type="paragraph" w:styleId="17">
    <w:name w:val="header"/>
    <w:basedOn w:val="1"/>
    <w:link w:val="45"/>
    <w:unhideWhenUsed/>
    <w:qFormat/>
    <w:uiPriority w:val="99"/>
    <w:pPr>
      <w:tabs>
        <w:tab w:val="center" w:pos="4680"/>
        <w:tab w:val="right" w:pos="9360"/>
      </w:tabs>
      <w:spacing w:after="0" w:line="240" w:lineRule="auto"/>
    </w:pPr>
  </w:style>
  <w:style w:type="character" w:styleId="18">
    <w:name w:val="Hyperlink"/>
    <w:basedOn w:val="11"/>
    <w:unhideWhenUsed/>
    <w:uiPriority w:val="99"/>
    <w:rPr>
      <w:color w:val="467886" w:themeColor="hyperlink"/>
      <w:u w:val="single"/>
      <w14:textFill>
        <w14:solidFill>
          <w14:schemeClr w14:val="hlink"/>
        </w14:solidFill>
      </w14:textFill>
    </w:rPr>
  </w:style>
  <w:style w:type="paragraph" w:styleId="19">
    <w:name w:val="Normal (Web)"/>
    <w:basedOn w:val="1"/>
    <w:semiHidden/>
    <w:unhideWhenUsed/>
    <w:qFormat/>
    <w:uiPriority w:val="99"/>
    <w:rPr>
      <w:rFonts w:ascii="Times New Roman" w:hAnsi="Times New Roman" w:cs="Times New Roman"/>
      <w:sz w:val="24"/>
      <w:szCs w:val="24"/>
    </w:rPr>
  </w:style>
  <w:style w:type="paragraph" w:styleId="20">
    <w:name w:val="Subtitle"/>
    <w:basedOn w:val="1"/>
    <w:next w:val="1"/>
    <w:link w:val="32"/>
    <w:qFormat/>
    <w:uiPriority w:val="11"/>
    <w:rPr>
      <w:color w:val="595959"/>
      <w:sz w:val="28"/>
      <w:szCs w:val="28"/>
    </w:rPr>
  </w:style>
  <w:style w:type="paragraph" w:styleId="21">
    <w:name w:val="Title"/>
    <w:basedOn w:val="1"/>
    <w:next w:val="1"/>
    <w:link w:val="31"/>
    <w:qFormat/>
    <w:uiPriority w:val="10"/>
    <w:pPr>
      <w:spacing w:after="80" w:line="240" w:lineRule="auto"/>
      <w:contextualSpacing/>
    </w:pPr>
    <w:rPr>
      <w:rFonts w:asciiTheme="majorHAnsi" w:hAnsiTheme="majorHAnsi" w:eastAsiaTheme="majorEastAsia" w:cstheme="majorBidi"/>
      <w:spacing w:val="-10"/>
      <w:kern w:val="28"/>
      <w:sz w:val="56"/>
      <w:szCs w:val="56"/>
    </w:rPr>
  </w:style>
  <w:style w:type="character" w:customStyle="1" w:styleId="22">
    <w:name w:val="Heading 2 Char"/>
    <w:basedOn w:val="11"/>
    <w:link w:val="3"/>
    <w:uiPriority w:val="0"/>
    <w:rPr>
      <w:rFonts w:asciiTheme="majorHAnsi" w:hAnsiTheme="majorHAnsi" w:eastAsiaTheme="majorEastAsia" w:cstheme="majorBidi"/>
      <w:color w:val="104862" w:themeColor="accent1" w:themeShade="BF"/>
      <w:sz w:val="32"/>
      <w:szCs w:val="32"/>
    </w:rPr>
  </w:style>
  <w:style w:type="character" w:customStyle="1" w:styleId="23">
    <w:name w:val="Heading 1 Char"/>
    <w:basedOn w:val="11"/>
    <w:link w:val="2"/>
    <w:uiPriority w:val="9"/>
    <w:rPr>
      <w:rFonts w:asciiTheme="majorHAnsi" w:hAnsiTheme="majorHAnsi" w:eastAsiaTheme="majorEastAsia" w:cstheme="majorBidi"/>
      <w:color w:val="104862" w:themeColor="accent1" w:themeShade="BF"/>
      <w:sz w:val="40"/>
      <w:szCs w:val="40"/>
    </w:rPr>
  </w:style>
  <w:style w:type="character" w:customStyle="1" w:styleId="24">
    <w:name w:val="Heading 3 Char"/>
    <w:basedOn w:val="11"/>
    <w:link w:val="4"/>
    <w:semiHidden/>
    <w:uiPriority w:val="9"/>
    <w:rPr>
      <w:rFonts w:eastAsiaTheme="majorEastAsia" w:cstheme="majorBidi"/>
      <w:color w:val="104862" w:themeColor="accent1" w:themeShade="BF"/>
      <w:sz w:val="28"/>
      <w:szCs w:val="28"/>
    </w:rPr>
  </w:style>
  <w:style w:type="character" w:customStyle="1" w:styleId="25">
    <w:name w:val="Heading 4 Char"/>
    <w:basedOn w:val="11"/>
    <w:link w:val="5"/>
    <w:semiHidden/>
    <w:qFormat/>
    <w:uiPriority w:val="9"/>
    <w:rPr>
      <w:rFonts w:eastAsiaTheme="majorEastAsia" w:cstheme="majorBidi"/>
      <w:i/>
      <w:iCs/>
      <w:color w:val="104862" w:themeColor="accent1" w:themeShade="BF"/>
    </w:rPr>
  </w:style>
  <w:style w:type="character" w:customStyle="1" w:styleId="26">
    <w:name w:val="Heading 5 Char"/>
    <w:basedOn w:val="11"/>
    <w:link w:val="6"/>
    <w:semiHidden/>
    <w:uiPriority w:val="9"/>
    <w:rPr>
      <w:rFonts w:eastAsiaTheme="majorEastAsia" w:cstheme="majorBidi"/>
      <w:color w:val="104862" w:themeColor="accent1" w:themeShade="BF"/>
    </w:rPr>
  </w:style>
  <w:style w:type="character" w:customStyle="1" w:styleId="27">
    <w:name w:val="Heading 6 Char"/>
    <w:basedOn w:val="11"/>
    <w:link w:val="7"/>
    <w:semiHidden/>
    <w:uiPriority w:val="9"/>
    <w:rPr>
      <w:rFonts w:eastAsiaTheme="majorEastAsia" w:cstheme="majorBidi"/>
      <w:i/>
      <w:iCs/>
      <w:color w:val="595959" w:themeColor="text1" w:themeTint="A6"/>
      <w14:textFill>
        <w14:solidFill>
          <w14:schemeClr w14:val="tx1">
            <w14:lumMod w14:val="65000"/>
            <w14:lumOff w14:val="35000"/>
          </w14:schemeClr>
        </w14:solidFill>
      </w14:textFill>
    </w:rPr>
  </w:style>
  <w:style w:type="character" w:customStyle="1" w:styleId="28">
    <w:name w:val="Heading 7 Char"/>
    <w:basedOn w:val="11"/>
    <w:link w:val="8"/>
    <w:semiHidden/>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29">
    <w:name w:val="Heading 8 Char"/>
    <w:basedOn w:val="11"/>
    <w:link w:val="9"/>
    <w:semiHidden/>
    <w:uiPriority w:val="9"/>
    <w:rPr>
      <w:rFonts w:eastAsiaTheme="majorEastAsia" w:cstheme="majorBidi"/>
      <w:i/>
      <w:iCs/>
      <w:color w:val="262626" w:themeColor="text1" w:themeTint="D9"/>
      <w14:textFill>
        <w14:solidFill>
          <w14:schemeClr w14:val="tx1">
            <w14:lumMod w14:val="85000"/>
            <w14:lumOff w14:val="15000"/>
          </w14:schemeClr>
        </w14:solidFill>
      </w14:textFill>
    </w:rPr>
  </w:style>
  <w:style w:type="character" w:customStyle="1" w:styleId="30">
    <w:name w:val="Heading 9 Char"/>
    <w:basedOn w:val="11"/>
    <w:link w:val="10"/>
    <w:semiHidden/>
    <w:uiPriority w:val="9"/>
    <w:rPr>
      <w:rFonts w:eastAsiaTheme="majorEastAsia" w:cstheme="majorBidi"/>
      <w:color w:val="262626" w:themeColor="text1" w:themeTint="D9"/>
      <w14:textFill>
        <w14:solidFill>
          <w14:schemeClr w14:val="tx1">
            <w14:lumMod w14:val="85000"/>
            <w14:lumOff w14:val="15000"/>
          </w14:schemeClr>
        </w14:solidFill>
      </w14:textFill>
    </w:rPr>
  </w:style>
  <w:style w:type="character" w:customStyle="1" w:styleId="31">
    <w:name w:val="Title Char"/>
    <w:basedOn w:val="11"/>
    <w:link w:val="21"/>
    <w:uiPriority w:val="10"/>
    <w:rPr>
      <w:rFonts w:asciiTheme="majorHAnsi" w:hAnsiTheme="majorHAnsi" w:eastAsiaTheme="majorEastAsia" w:cstheme="majorBidi"/>
      <w:spacing w:val="-10"/>
      <w:kern w:val="28"/>
      <w:sz w:val="56"/>
      <w:szCs w:val="56"/>
    </w:rPr>
  </w:style>
  <w:style w:type="character" w:customStyle="1" w:styleId="32">
    <w:name w:val="Subtitle Char"/>
    <w:basedOn w:val="11"/>
    <w:link w:val="20"/>
    <w:uiPriority w:val="11"/>
    <w:rPr>
      <w:rFonts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33">
    <w:name w:val="Quote"/>
    <w:basedOn w:val="1"/>
    <w:next w:val="1"/>
    <w:link w:val="34"/>
    <w:qFormat/>
    <w:uiPriority w:val="29"/>
    <w:pPr>
      <w:spacing w:before="160"/>
      <w:jc w:val="center"/>
    </w:pPr>
    <w:rPr>
      <w:i/>
      <w:iCs/>
      <w:color w:val="404040" w:themeColor="text1" w:themeTint="BF"/>
      <w14:textFill>
        <w14:solidFill>
          <w14:schemeClr w14:val="tx1">
            <w14:lumMod w14:val="75000"/>
            <w14:lumOff w14:val="25000"/>
          </w14:schemeClr>
        </w14:solidFill>
      </w14:textFill>
    </w:rPr>
  </w:style>
  <w:style w:type="character" w:customStyle="1" w:styleId="34">
    <w:name w:val="Quote Char"/>
    <w:basedOn w:val="11"/>
    <w:link w:val="33"/>
    <w:uiPriority w:val="29"/>
    <w:rPr>
      <w:i/>
      <w:iCs/>
      <w:color w:val="404040" w:themeColor="text1" w:themeTint="BF"/>
      <w14:textFill>
        <w14:solidFill>
          <w14:schemeClr w14:val="tx1">
            <w14:lumMod w14:val="75000"/>
            <w14:lumOff w14:val="25000"/>
          </w14:schemeClr>
        </w14:solidFill>
      </w14:textFill>
    </w:rPr>
  </w:style>
  <w:style w:type="paragraph" w:styleId="35">
    <w:name w:val="List Paragraph"/>
    <w:basedOn w:val="1"/>
    <w:qFormat/>
    <w:uiPriority w:val="34"/>
    <w:pPr>
      <w:ind w:left="720"/>
      <w:contextualSpacing/>
    </w:pPr>
  </w:style>
  <w:style w:type="character" w:customStyle="1" w:styleId="36">
    <w:name w:val="Intense Emphasis"/>
    <w:basedOn w:val="11"/>
    <w:qFormat/>
    <w:uiPriority w:val="21"/>
    <w:rPr>
      <w:i/>
      <w:iCs/>
      <w:color w:val="104862" w:themeColor="accent1" w:themeShade="BF"/>
    </w:rPr>
  </w:style>
  <w:style w:type="paragraph" w:styleId="37">
    <w:name w:val="Intense Quote"/>
    <w:basedOn w:val="1"/>
    <w:next w:val="1"/>
    <w:link w:val="38"/>
    <w:qFormat/>
    <w:uiPriority w:val="30"/>
    <w:pPr>
      <w:pBdr>
        <w:top w:val="single" w:color="0F4761" w:themeColor="accent1" w:themeShade="BF" w:sz="4" w:space="10"/>
        <w:bottom w:val="single" w:color="0F4761" w:themeColor="accent1" w:themeShade="BF" w:sz="4" w:space="10"/>
      </w:pBdr>
      <w:spacing w:before="360" w:after="360"/>
      <w:ind w:left="864" w:right="864"/>
      <w:jc w:val="center"/>
    </w:pPr>
    <w:rPr>
      <w:i/>
      <w:iCs/>
      <w:color w:val="104862" w:themeColor="accent1" w:themeShade="BF"/>
    </w:rPr>
  </w:style>
  <w:style w:type="character" w:customStyle="1" w:styleId="38">
    <w:name w:val="Intense Quote Char"/>
    <w:basedOn w:val="11"/>
    <w:link w:val="37"/>
    <w:qFormat/>
    <w:uiPriority w:val="30"/>
    <w:rPr>
      <w:i/>
      <w:iCs/>
      <w:color w:val="104862" w:themeColor="accent1" w:themeShade="BF"/>
    </w:rPr>
  </w:style>
  <w:style w:type="character" w:customStyle="1" w:styleId="39">
    <w:name w:val="Intense Reference"/>
    <w:basedOn w:val="11"/>
    <w:qFormat/>
    <w:uiPriority w:val="32"/>
    <w:rPr>
      <w:b/>
      <w:bCs/>
      <w:smallCaps/>
      <w:color w:val="104862" w:themeColor="accent1" w:themeShade="BF"/>
      <w:spacing w:val="5"/>
    </w:rPr>
  </w:style>
  <w:style w:type="character" w:customStyle="1" w:styleId="40">
    <w:name w:val="Unresolved Mention"/>
    <w:basedOn w:val="11"/>
    <w:semiHidden/>
    <w:unhideWhenUsed/>
    <w:uiPriority w:val="99"/>
    <w:rPr>
      <w:color w:val="605E5C"/>
      <w:shd w:val="clear" w:color="auto" w:fill="E1DFDD"/>
    </w:rPr>
  </w:style>
  <w:style w:type="table" w:customStyle="1" w:styleId="41">
    <w:name w:val="_Style 34"/>
    <w:basedOn w:val="12"/>
    <w:uiPriority w:val="0"/>
    <w:tblPr>
      <w:tblCellMar>
        <w:top w:w="15" w:type="dxa"/>
        <w:left w:w="15" w:type="dxa"/>
        <w:bottom w:w="15" w:type="dxa"/>
        <w:right w:w="15" w:type="dxa"/>
      </w:tblCellMar>
    </w:tblPr>
  </w:style>
  <w:style w:type="table" w:customStyle="1" w:styleId="42">
    <w:name w:val="_Style 35"/>
    <w:basedOn w:val="12"/>
    <w:uiPriority w:val="0"/>
    <w:tblPr>
      <w:tblCellMar>
        <w:top w:w="15" w:type="dxa"/>
        <w:left w:w="15" w:type="dxa"/>
        <w:bottom w:w="15" w:type="dxa"/>
        <w:right w:w="15" w:type="dxa"/>
      </w:tblCellMar>
    </w:tblPr>
  </w:style>
  <w:style w:type="character" w:customStyle="1" w:styleId="43">
    <w:name w:val="Comment Text Char"/>
    <w:basedOn w:val="11"/>
    <w:link w:val="14"/>
    <w:qFormat/>
    <w:uiPriority w:val="99"/>
    <w:rPr>
      <w:sz w:val="20"/>
      <w:szCs w:val="20"/>
    </w:rPr>
  </w:style>
  <w:style w:type="paragraph" w:customStyle="1" w:styleId="44">
    <w:name w:val="Revision"/>
    <w:hidden/>
    <w:semiHidden/>
    <w:qFormat/>
    <w:uiPriority w:val="99"/>
    <w:pPr>
      <w:spacing w:after="0" w:line="240" w:lineRule="auto"/>
    </w:pPr>
    <w:rPr>
      <w:rFonts w:ascii="Aptos" w:hAnsi="Aptos" w:eastAsia="Aptos" w:cs="Aptos"/>
      <w:sz w:val="22"/>
      <w:szCs w:val="22"/>
      <w:lang w:val="en-US" w:eastAsia="en-US" w:bidi="ar-SA"/>
    </w:rPr>
  </w:style>
  <w:style w:type="character" w:customStyle="1" w:styleId="45">
    <w:name w:val="Header Char"/>
    <w:basedOn w:val="11"/>
    <w:link w:val="17"/>
    <w:qFormat/>
    <w:uiPriority w:val="99"/>
  </w:style>
  <w:style w:type="character" w:customStyle="1" w:styleId="46">
    <w:name w:val="Footer Char"/>
    <w:basedOn w:val="11"/>
    <w:link w:val="16"/>
    <w:qFormat/>
    <w:uiPriority w:val="99"/>
  </w:style>
  <w:style w:type="character" w:customStyle="1" w:styleId="47">
    <w:name w:val="Comment Subject Char"/>
    <w:basedOn w:val="43"/>
    <w:link w:val="15"/>
    <w:semiHidden/>
    <w:qFormat/>
    <w:uiPriority w:val="99"/>
    <w:rPr>
      <w:b/>
      <w:bCs/>
      <w:sz w:val="20"/>
      <w:szCs w:val="20"/>
    </w:r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fTYYsPCHzwaEwelmXlRfkWL4Jw==">CgMxLjAaGgoBMBIVChMIBCoPCgtBQUFCaXA2dllYWRABGhoKATESFQoTCAQqDwoLQUFBQmlwNnZZWFkQAhoaCgEyEhUKEwgEKg8KC0FBQUJqWmNFVkFNEAEaGgoBMxIVChMIBCoPCgtBQUFCalpjRVUtcxABGhoKATQSFQoTCAQqDwoLQUFBQmpaY0VVLXMQAhoaCgE1EhUKEwgEKg8KC0FBQUJqWmNFVS04EAIaGgoBNhIVChMIBCoPCgtBQUFCalpjRVVfSRABGhoKATcSFQoTCAQqDwoLQUFBQmpaY0VVX0kQAhonCgE4EiIKIAgEKhwKC0FBQUJqYUZUdXdZEAgaC0FBQUJqYUZUdXdZGicKATkSIgogCAQqHAoLQUFBQmphRlR1d1kQCBoLQUFBQmpaY0VWRFEaGwoCMTASFQoTCAQqDwoLQUFBQmpaY0VVX1EQARobCgIxMRIVChMIBCoPCgtBQUFCam16VHpuRRABGhsKAjEyEhUKEwgEKg8KC0FBQUJqbXpUem5REAEaGwoCMTMSFQoTCAQqDwoLQUFBQmptelR6blEQAhooCgIxNBIiCiAIBCocCgtBQUFCam16VHpsdxAIGgtBQUFCam16VHpsdxobCgIxNRIVChMIBCoPCgtBQUFCam16VHpsMBABGhsKAjE2EhUKEwgEKg8KC0FBQUJqbXpUemwwEAEaGwoCMTcSFQoTCAQqDwoLQUFBQmptelR6bDAQARobCgIxOBIVChMIBCoPCgtBQUFCam16VHpuVRACGigKAjE5EiIKIAgEKhwKC0FBQUJqbXpUempJEAgaC0FBQUJqbXpUempJGigKAjIwEiIKIAgEKhwKC0FBQUJqbXpUempJEAgaC0FBQUJraFpjdkxZGigKAjIxEiIKIAgEKhwKC0FBQUJqYVhMbWg4EAgaC0FBQUJqYVhMbWg4GhsKAjIyEhUKEwgEKg8KC0FBQUJqbXpUemw0EAEaKAoCMjMSIgogCAQqHAoLQUFBQmpuYUpOMTgQCBoLQUFBQmpuYUpOMTgaGwoCMjQSFQoTCAQqDwoLQUFBQmptelR6aWMQARooCgIyNRIiCiAIBCocCgtBQUFCam16VHpraxAIGgtBQUFCam16VHpraxooCgIyNhIiCiAIBCocCgtBQUFCam16VHpraxAIGgtBQUFCa2haY3ZMTRobCgIyNxIVChMIBCoPCgtBQUFCam16VHpsOBABGhsKAjI4EhUKEwgEKg8KC0FBQUJqbXpUemw4EAEaGwoCMjkSFQoTCAQqDwoLQUFBQmptelR6bDgQAhooCgIzMBIiCiAIBCocCgtBQUFCam5hSk4yQRAIGgtBQUFCam5hSk4yQRobCgIzMRIVChMIBCoPCgtBQUFCalpjRVZDURACGhsKAjMyEhUKEwgEKg8KC0FBQUJraFpjdkxREAQaGwoCMzMSFQoTCAQqDwoLQUFBQmtoWmN2TEkQARowCgIzNBIqChMIBCoPCgtBQUFCa2haY3ZMURAEChMIBCoPCgtBQUFCa2haY3ZMSRABGhsKAjM1EhUKEwgEKg8KC0FBQUJraFpjdkxJEAIaMAoCMzYSKgoTCAQqDwoLQUFBQmtoWmN2TFEQBAoTCAQqDwoLQUFBQmtoWmN2TEkQAhobCgIzNxIVChMIBCoPCgtBQUFCa2haY3ZMSRABGjAKAjM4EioKEwgEKg8KC0FBQUJraFpjdkxREAQKEwgEKg8KC0FBQUJraFpjdkxJEAEaGwoCMzkSFQoTCAQqDwoLQUFBQmtoWmN2TFEQBBobCgI0MBIVChMIBCoPCgtBQUFCa2haY3ZMURAEGhsKAjQxEhUKEwgEKg8KC0FBQUJraFpjdkxJEAIaMAoCNDISKgoTCAQqDwoLQUFBQmtoWmN2TFEQBAoTCAQqDwoLQUFBQmtoWmN2TEkQAhobCgI0MxIVChMIBCoPCgtBQUFCa2haY3ZMSRACGhsKAjQ0EhUKEwgEKg8KC0FBQUJraFpjdkxREAQaGwoCNDUSFQoTCAQqDwoLQUFBQmptelR6bUkQARooCgI0NhIiCiAIBCocCgtBQUFCam5hSk4ySRAIGgtBQUFCam5hSk4ySRooCgI0NxIiCiAIBCocCgtBQUFCam5hSk4ySRAIGgtBQUFCamFYTG1pOBobCgI0OBIVChMIBCoPCgtBQUFCa2haY3ZMQRABGhsKAjQ5EhUKEwgEKg8KC0FBQUJraFpjdkxBEAEaGwoCNTASFQoTCAQqDwoLQUFBQmtoWmN2TEEQARobCgI1MRIVChMIBCoPCgtBQUFCa2haY3ZMQRABGhsKAjUyEhUKEwgEKg8KC0FBQUJraFpjdkxBEAEaGwoCNTMSFQoTCAQqDwoLQUFBQmtoWmN2TEEQARobCgI1NBIVChMIBCoPCgtBQUFCa2haY3ZMQRABGhsKAjU1EhUKEwgEKg8KC0FBQUJraFpjdkxBEAEaKAoCNTYSIgogCAQqHAoLQUFBQmptelR6bVUQCBoLQUFBQmptelR6bVUaKAoCNTcSIgogCAQqHAoLQUFBQmlwNnZZWFUQCBoLQUFBQmlwNnZZWFUaKAoCNTgSIgogCAQqHAoLQUFBQmlwNnZZWFUQCBoLQUFBQmpuYUpOM00aKAoCNTkSIgogCAQqHAoLQUFBQmlwNnZZWFUQCBoLQUFBQmptelR6bHMaGwoCNjASFQoTCAQqDwoLQUFBQmptelR6bU0QARobCgI2MRIVChMIBCoPCgtBQUFCam16VHptTRACGhsKAjYyEhUKEwgEKg8KC0FBQUJqbmFKTjJREAEaGwoCNjMSFQoTCAQqDwoLQUFBQmpuYUpOMlEQAhobCgI2NBIVChMIBCoPCgtBQUFCam5hSk4yURABGhsKAjY1EhUKEwgEKg8KC0FBQUJqbmFKTjJREAIaGwoCNjYSFQoTCAQqDwoLQUFBQmpuYUpOMlkQARobCgI2NxIVChMIBCoPCgtBQUFCam5hSk4yYxABGhsKAjY4EhUKEwgEKg8KC0FBQUJqbmFKTjJjEAIaGwoCNjkSFQoTCAQqDwoLQUFBQmpaY0VWQ2MQARobCgI3MBIVChMIBCoPCgtBQUFCalpjRVZDYxACGhsKAjcxEhUKEwgEKg8KC0FBQUJqbmFKTjJ3EAEaGwoCNzISFQoTCAQqDwoLQUFBQmptelR6bVkQARobCgI3MxIVChMIBCoPCgtBQUFCam16VHptaxABGhsKAjc0EhUKEwgEKg8KC0FBQUJqbXpUem1vEAEaGwoCNzUSFQoTCAQqDwoLQUFBQmptelR6bW8QAhobCgI3NhIVChMIBCoPCgtBQUFCam16VHptcxABGhsKAjc3EhUKEwgEKg8KC0FBQUJqbXpUem13EAEaGwoCNzgSFQoTCAQqDwoLQUFBQmptelR6bTAQARobCgI3ORIVChMIBCoPCgtBQUFCam16VHptMBACGhsKAjgwEhUKEwgEKg8KC0FBQUJqbXpUem00EAEaGwoCODESFQoTCAQqDwoLQUFBQmpuYUpOMjAQARobCgI4MhIVChMIBCoPCgtBQUFCam5hSk4yMBACGhsKAjgzEhUKEwgEKg8KC0FBQUJqbmFKTjI0EAEaGwoCODQSFQoTCAQqDwoLQUFBQmpuYUpOMjQQAhobCgI4NRIVChMIBCoPCgtBQUFCam5hSk4yOBABGhsKAjg2EhUKEwgEKg8KC0FBQUJqYVhMbWxjEAEaKAoCODcSIgogCAQqHAoLQUFBQmpaY0VWQ2cQCBoLQUFBQmpaY0VWQ2caGwoCODgSFQoTCAQqDwoLQUFBQmptelR6blkQARobCgI4ORIVChMIBCoPCgtBQUFCam16VHpuYxABGhsKAjkwEhUKEwgEKg8KC0FBQUJqbXpUem5jEAIaGwoCOTESFQoTCAQqDwoLQUFBQmpaY0VWREEQARobCgI5MhIVChMIBCoPCgtBQUFCalpjRVZEQRABGhsKAjkzEhUKEwgEKg8KC0FBQUJqWmNFVkRFEAEaKAoCOTQSIgogCAQqHAoLQUFBQmptelR6bkEQCBoLQUFBQmptelR6bkEaGwoCOTUSFQoTCAQqDwoLQUFBQmpaY0VWRE0QARobCgI5NhIVChMIBCoPCgtBQUFCalpjRVZETRABGhsKAjk3EhUKEwgEKg8KC0FBQUJqWmNFVkZVEAEaGwoCOTgSFQoTCAQqDwoLQUFBQmpaY0VWR0kQARobCgI5ORIVChMIBCoPCgtBQUFCalpjRVZHVRABGikKAzEwMBIiCiAIBCocCgtBQUFCalpjRVZIdxAIGgtBQUFCalpjRVZIdxocCgMxMDESFQoTCAQqDwoLQUFBQmpaY0VWR1UQAhocCgMxMDISFQoTCAQqDwoLQUFBQmpaY0VWR1kQASKmAgoLQUFBQmptelR6bUkS8AEKC0FBQUJqbXpUem1JEgtBQUFCam16VHptSRoNCgl0ZXh0L2h0bWwSACIOCgp0ZXh0L3BsYWluEgAqGyIVMTA5NzExMDM5NzU5OTQyNzYyNzU5KAA4ADD56ojP7TI454OJz+0ySlAKJGFwcGxpY2F0aW9uL3ZuZC5nb29nbGUtYXBwcy5kb2NzLm1kcxoowtfa5AEiGiAKHAoWYW5kIGNsZWFybHkgYXJ0aWN1bGF0ZRABGAAQAVoMNm5sNTNxYm1iaDdwcgIgAHgAggEUc3VnZ2VzdC53aXU1dWdtMm42cXOaAQYIABAAGACwAQC4AQAY+eqIz+0yIOeDic/tMjAAQhRzdWdnZXN0LndpdTV1Z20ybjZxcyKwAgoLQUFBQmphWExtbGMS+gEKC0FBQUJqYVhMbWxjEgtBQUFCamFYTG1sYxoNCgl0ZXh0L2h0bWwSACIOCgp0ZXh0L3BsYWluEgAqGyIVMTE2MTE4Njg1ODg0NTU0OTE1NDIwKAA4ADC0nZPJ7TI48d+Uye0ySloKJGFwcGxpY2F0aW9uL3ZuZC5nb29nbGUtYXBwcy5kb2NzLm1kcxoywtfa5AEsGioKJgogaW4gdGhlIG5ldyBzdHJhdGVnaWMgcGxhbiBwZXJpb2QQARgAEAFaDDIwMTRhOTNibTN4cnICIAB4AIIBFHN1Z2dlc3QuY3BkMG0zd2NiNmp3mgEGCAAQABgAsAEAuAEAGLSdk8ntMiDx35TJ7TIwAEIUc3VnZ2VzdC5jcGQwbTN3Y2I2anciqQIKC0FBQUJqbXpUem1NEvMBCgtBQUFCam16VHptTRILQUFBQmptelR6bU0aDQoJdGV4dC9odG1sEgAiDgoKdGV4dC9wbGFpbhIAKhsiFTEwOTcxMTAzOTc1OTk0Mjc2Mjc1OSgAOAAw0K2Kz+0yOOi/is/tMkpTCiRhcHBsaWNhdGlvbi92bmQuZ29vZ2xlLWFwcHMuZG9jcy5tZHMaK8LX2uQBJQojChAKCmZhY2lsaXRhdGUQARgAEg0KB2NvbmR1Y3QQARgAGAFaDDJidzdlN2sweXhkZ3ICIAB4AIIBFHN1Z2dlc3QuZWNuMmo4YnFqNzRrmgEGCAAQABgAsAEAuAEAGNCtis/tMiDov4rP7TIwAEIUc3VnZ2VzdC5lY24yajhicWo3NGsirgIKC0FBQUJqWmNFVkdJEvgBCgtBQUFCalpjRVZHSRILQUFBQmpaY0VWR0kaDQoJdGV4dC9odG1sEgAiDgoKdGV4dC9wbGFpbhIAKhsiFTExMjEyNjM1MTU5NDU3OTE5NzU1NigAOAAwvffExu0yOKWUxcbtMkpZCiRhcHBsaWNhdGlvbi92bmQuZ29vZ2xlLWFwcHMuZG9jcy5tZHMaMcLX2uQBKxopCiUKHywgYWx0aG91Z2ggdGhpcyBpcyBub3QgcmVxdWlyZWQQARgAEAFaC2NwY3UybHo4MXc1cgIgAHgAggEUc3VnZ2VzdC53ajlveGJscjdncHKaAQYIABAAGACwAQC4AQAYvffExu0yIKWUxcbtMjAAQhRzdWdnZXN0LndqOW94YmxyN2dwciKYAgoLQUFBQmpaY0VVLTgS4gEKC0FBQUJqWmNFVS04EgtBQUFCalpjRVUtOBoNCgl0ZXh0L2h0bWwSACIOCgp0ZXh0L3BsYWluEgAqGyIVMTEyMTI2MzUxNTk0NTc5MTk3NTU2KAA4ADCE8PfF7TI4//X3xe0ySkIKJGFwcGxpY2F0aW9uL3ZuZC5nb29nbGUtYXBwcy5kb2NzLm1kcxoawtfa5AEUEhIKDgoIdXBjb21pbmcQARgAEAFaDG0yZG9md3c4NW5oMnICIAB4AIIBFHN1Z2dlc3QuZHUxZmJoYXdoaHp4mgEGCAAQABgAsAEAuAEAGITw98XtMiD/9ffF7TIwAEIUc3VnZ2VzdC5kdTFmYmhhd2hoengiggIKC0FBQUJraFpjdkxREs4BCgtBQUFCa2haY3ZMURILQUFBQmtoWmN2TFEaDQoJdGV4dC9odG1sEgAiDgoKdGV4dC9wbGFpbhIAKhsiFTExMjEyNjM1MTU5NDU3OTE5NzU1NigAOAAw26DYgfMyOKSl2IHzMko0CiRhcHBsaWNhdGlvbi92bmQuZ29vZ2xlLWFwcHMuZG9jcy5tZHMaDMLX2uQBBiIECGoQAVoMOTJrOGR0eDFiMTVtcgIgAHgAggEUc3VnZ2VzdC50ZXVvOWZpZnJpZnWaAQYIABAAGAAY26DYgfMyIKSl2IHzMkIUc3VnZ2VzdC50ZXVvOWZpZnJpZnUivgYKC0FBQUJqbmFKTjE4EowGCgtBQUFCam5hSk4xOBILQUFBQmpuYUpOMTgazQEKCXRleHQvaHRtbBK/AVRoaXMgc291bmRzIGxpa2UgdGhleSB3aWxsIHN0YXJ0IGZyb20gc2NyYXRjaCAtIEkgdGhpbmsgd2UgbmVlZCB0byByZWZlcmVuY2UgdGhhdCBzb21lIG9mIHRoaXMgaXMgYWxyZWFkeSBrbm93bjsgYSBoZWxwZnVsIHRhc2sgd291bGQgYmUgdG8gcmV2aWV3IGFuZCB1cGRhdGUgYmFzZWQgb24gY2hhbmdlcyBpbiBwYXN0IDUgeWVhcnM/Is4BCgp0ZXh0L3BsYWluEr8BVGhpcyBzb3VuZHMgbGlrZSB0aGV5IHdpbGwgc3RhcnQgZnJvbSBzY3JhdGNoIC0gSSB0aGluayB3ZSBuZWVkIHRvIHJlZmVyZW5jZSB0aGF0IHNvbWUgb2YgdGhpcyBpcyBhbHJlYWR5IGtub3duOyBhIGhlbHBmdWwgdGFzayB3b3VsZCBiZSB0byByZXZpZXcgYW5kIHVwZGF0ZSBiYXNlZCBvbiBjaGFuZ2VzIGluIHBhc3QgNSB5ZWFycz8qGyIVMTE3NjY0MjUzMTM0MjM4NDk0ODAwKAA4ADCHmIjy7DI4h5iI8uwySjsKCnRleHQvcGxhaW4SLUlkZW50aWZ5IGtleSB0aHJlYXRzLCBvcHBvcnR1bml0aWVzLCBhbmQgZ2Fwc1oMN3RvM2JmeHMzd3hjcgIgAHgAmgEGCAAQABgAqgHCARK/AVRoaXMgc291bmRzIGxpa2UgdGhleSB3aWxsIHN0YXJ0IGZyb20gc2NyYXRjaCAtIEkgdGhpbmsgd2UgbmVlZCB0byByZWZlcmVuY2UgdGhhdCBzb21lIG9mIHRoaXMgaXMgYWxyZWFkeSBrbm93bjsgYSBoZWxwZnVsIHRhc2sgd291bGQgYmUgdG8gcmV2aWV3IGFuZCB1cGRhdGUgYmFzZWQgb24gY2hhbmdlcyBpbiBwYXN0IDUgeWVhcnM/sAEAuAEAGIeYiPLsMiCHmIjy7DIwAEIQa2l4LmI4c2VsYnhmNjNlbSLtDgoLQUFBQmlwNnZZWFUSuw4KC0FBQUJpcDZ2WVhVEgtBQUFCaXA2dllYVRqEAgoJdGV4dC9odG1sEvYBRm9yIGVhY2ggb2YgdGhlc2UsIHNob3VsZCBpdCByYXRoZXIgYmUgJnF1b3Q7dGhlIGNvbnN1bHRhbmN5wqB3aWxsIGxlYWQgYSBwcm9jZXNzIHRvLi4uJnF1b3Q7IC0gcHJlc3VtYWJseSB5b3Ugd291bGQgd2FudCBJR0NQIChzdGFmZiBhbmQgd2lkZXIgY29hbGl0aW9uKSB0byBiZSBwYXJ0IG9mIHRoZXNlIHByb2Nlc3Nlcywgbm90IGZvciB0aGUgY29uc3VsdGFudCB0byBkZXZlbG9wIHRoZXNlIHRoaW5ncyBpbiBpc29sYXRpb24uIvsBCgp0ZXh0L3BsYWluEuwBRm9yIGVhY2ggb2YgdGhlc2UsIHNob3VsZCBpdCByYXRoZXIgYmUgInRoZSBjb25zdWx0YW5jecKgd2lsbCBsZWFkIGEgcHJvY2VzcyB0by4uLiIgLSBwcmVzdW1hYmx5IHlvdSB3b3VsZCB3YW50IElHQ1AgKHN0YWZmIGFuZCB3aWRlciBjb2FsaXRpb24pIHRvIGJlIHBhcnQgb2YgdGhlc2UgcHJvY2Vzc2VzLCBub3QgZm9yIHRoZSBjb25zdWx0YW50IHRvIGRldmVsb3AgdGhlc2UgdGhpbmdzIGluIGlzb2xhdGlvbi4qGyIVMTA0Njk3NTU0MjUyOTgzMjgyMDMyKAA4ADCCuZyL6TI4qcX1zu0yQsAFCgtBQUFCam5hSk4zTRILQUFBQmlwNnZZWFUayAEKCXRleHQvaHRtbBK6AUFncmVlIHN0cm9uZ2x5IHdpdGggdGhpcyEgVGhlaXIgcm9sZSBzaG91bGQgYmUgdG8gZmFjaWxpdGF0ZSB0aGUgdGVhbSB0aHJvdWdoIGEgcHJvY2VzcyB0byByZWFjaCB0aGVzZSBvdXRwdXRzLCBhbmQgdGhlbiBwcmVwYXJlIHRoZSBmaW5hbCBkb2N1bWVudHMgYmFzZWQgb24gdGhlIGlucHV0cyBmcm9tIHRoZSB0ZWFtIGV0YyLJAQoKdGV4dC9wbGFpbhK6AUFncmVlIHN0cm9uZ2x5IHdpdGggdGhpcyEgVGhlaXIgcm9sZSBzaG91bGQgYmUgdG8gZmFjaWxpdGF0ZSB0aGUgdGVhbSB0aHJvdWdoIGEgcHJvY2VzcyB0byByZWFjaCB0aGVzZSBvdXRwdXRzLCBhbmQgdGhlbiBwcmVwYXJlIHRoZSBmaW5hbCBkb2N1bWVudHMgYmFzZWQgb24gdGhlIGlucHV0cyBmcm9tIHRoZSB0ZWFtIGV0YyobIhUxMTc2NjQyNTMxMzQyMzg0OTQ4MDAoADgAMO3kzfLsMjjt5M3y7DJaDDIzbmkycm95NGllMHICIAB4AJoBBggAEAAYAKoBvQESugFBZ3JlZSBzdHJvbmdseSB3aXRoIHRoaXMhIFRoZWlyIHJvbGUgc2hvdWxkIGJlIHRvIGZhY2lsaXRhdGUgdGhlIHRlYW0gdGhyb3VnaCBhIHByb2Nlc3MgdG8gcmVhY2ggdGhlc2Ugb3V0cHV0cywgYW5kIHRoZW4gcHJlcGFyZSB0aGUgZmluYWwgZG9jdW1lbnRzIGJhc2VkIG9uIHRoZSBpbnB1dHMgZnJvbSB0aGUgdGVhbSBldGOwAQC4AQBCswEKC0FBQUJqbXpUemxzEgtBQUFCaXA2dllYVRoaCgl0ZXh0L2h0bWwSDTEwMCUgYWdyZWUgLi4iGwoKdGV4dC9wbGFpbhINMTAwJSBhZ3JlZSAuLiobIhUxMDk3MTEwMzk3NTk5NDI3NjI3NTkoADgAMKnF9c7tMjipxfXO7TJaDGNibDBkYXh1a2NlbHICIAB4AJoBBggAEAAYAKoBDxINMTAwJSBhZ3JlZSAuLrABALgBAEpWCgp0ZXh0L3BsYWluEkhUaGUgc2VsZWN0ZWQgY29uc3VsdGFudCBvciB0ZWFtIHdpbGwgdW5kZXJ0YWtlIHRoZSBmb2xsb3dpbmcgYWN0aXZpdGllczpaDGhlcTY3N3JrNGhmZ3ICIAB4AJoBBggAEAAYAKoB+QES9gFGb3IgZWFjaCBvZiB0aGVzZSwgc2hvdWxkIGl0IHJhdGhlciBiZSAmcXVvdDt0aGUgY29uc3VsdGFuY3nCoHdpbGwgbGVhZCBhIHByb2Nlc3MgdG8uLi4mcXVvdDsgLSBwcmVzdW1hYmx5IHlvdSB3b3VsZCB3YW50IElHQ1AgKHN0YWZmIGFuZCB3aWRlciBjb2FsaXRpb24pIHRvIGJlIHBhcnQgb2YgdGhlc2UgcHJvY2Vzc2VzLCBub3QgZm9yIHRoZSBjb25zdWx0YW50IHRvIGRldmVsb3AgdGhlc2UgdGhpbmdzIGluIGlzb2xhdGlvbi6wAQC4AQAYgrmci+kyIKnF9c7tMjAAQhBraXgucXJ2bzQyYzd2aTQ5IqgCCgtBQUFCalpjRVZHVRLyAQoLQUFBQmpaY0VWR1USC0FBQUJqWmNFVkdVGg0KCXRleHQvaHRtbBIAIg4KCnRleHQvcGxhaW4SACobIhUxMTIxMjYzNTE1OTQ1NzkxOTc1NTYoADgAMIOmxcbtMjiPssXG7TJKUgokYXBwbGljYXRpb24vdm5kLmdvb2dsZS1hcHBzLmRvY3MubWRzGirC19rkASQKIgoPCglncmVhdCBhcGUQARgAEg0KB2dvcmlsbGEQARgAGAFaDGR3NDYwdTZiOGh5YXICIAB4AIIBFHN1Z2dlc3QubnpwdDNzeWdhZTN5mgEGCAAQABgAsAEAuAEAGIOmxcbtMiCPssXG7TIwAEIUc3VnZ2VzdC5uenB0M3N5Z2FlM3kikwIKC0FBQUJqWmNFVkNREt0BCgtBQUFCalpjRVZDURILQUFBQmpaY0VWQ1EaDQoJdGV4dC9odG1sEgAiDgoKdGV4dC9wbGFpbhIAKhsiFTExMjEyNjM1MTU5NDU3OTE5NzU1NigAOAAwne2Vxu0yOKT1lcbtMko9CiRhcHBsaWNhdGlvbi92bmQuZ29vZ2xlLWFwcHMuZG9jcy5tZHMaFcLX2uQBDxINCgkKA2FuZBABGAAQAVoMM2p1eXd6bWZleDlvcgIgAHgAggEUc3VnZ2VzdC53amJ4NTd6ZDZoNXSaAQYIABAAGACwAQC4AQAYne2Vxu0yIKT1lcbtMjAAQhRzdWdnZXN0LndqYng1N3pkNmg1dCKEAwoLQUFBQmlwNnZZWFkSzgIKC0FBQUJpcDZ2WVhZEgtBQUFCaXA2dllYWRoNCgl0ZXh0L2h0bWwSACIOCgp0ZXh0L3BsYWluEgAqGyIVMTA0Njk3NTU0MjUyOTgzMjgyMDMyKAA4ADCWkaCL6TI4puaoi+kySq0BCiRhcHBsaWNhdGlvbi92bmQuZ29vZ2xlLWFwcHMuZG9jcy5tZHMahAHC19rkAX4SCgoGCgAQFBgAEAEacApsCmZUaGlzIHRyYW5zaXRpb24gcmVwcmVzZW50cyBhbiBpbXBvcnRhbnQgZGV2ZWxvcG1lbnQgaW4gSUdDUOKAmXMgb3JnYW5pemF0aW9uYWwgZ3Jvd3RoLCBpbXByb3Zpbmcgc3VzdGEQARgBEAFaDG13amI1aDZoOXIxNHICIAB4AIIBFHN1Z2dlc3QuOGQxNjl0ZnBuNmF0mgEGCAAQABgAsAEAuAEAGJaRoIvpMiCm5qiL6TIwAEIUc3VnZ2VzdC44ZDE2OXRmcG42YXQirAIKC0FBQUJqWmNFVkdZEvYBCgtBQUFCalpjRVZHWRILQUFBQmpaY0VWR1kaDQoJdGV4dC9odG1sEgAiDgoKdGV4dC9wbGFpbhIAKhsiFTExMjEyNjM1MTU5NDU3OTE5NzU1NigAOAAwitjFxu0yONX1xcbtMkpWCiRhcHBsaWNhdGlvbi92bmQuZ29vZ2xlLWFwcHMuZG9jcy5tZHMaLsLX2uQBKBomCiIKHGlzIHByZWZlcnJlZCBieSBub3QgcmVxdWlyZWQQARgAEAFaDG5rZzk5czZobDNsb3ICIAB4AIIBFHN1Z2dlc3QudGtpc2l6cXgwZ3JqmgEGCAAQABgAsAEAuAEAGIrYxcbtMiDV9cXG7TIwAEIUc3VnZ2VzdC50a2lzaXpxeDBncmoiywQKC0FBQUJraFpjdkxJEpcECgtBQUFCa2haY3ZMSRILQUFBQmtoWmN2TEkaDQoJdGV4dC9odG1sEgAiDgoKdGV4dC9wbGFpbhIAKhsiFTExMjEyNjM1MTU5NDU3OTE5NzU1NigAOAAw4dfPgfMyOJK+2oHzMkr8AgokYXBwbGljYXRpb24vdm5kLmdvb2dsZS1hcHBzLmRvY3MubWRzGtMCwtfa5AHMAgreAQpuCmhrZXkgaW1tZWRpYXRlIHRocmVhdHMgKOKAnFN1c3RhaW5pbmcgV29yayBQYWNrYWdlc+KAnSkgYW5kIHRob3NlIGludGVydmVudGlvbnMgYWRkcmVzc2luZyB0aGUga2V5IHVuZGVybBABGAESagpkLi5hbmQgdGhlbiB3aXRoIHRoYXQgZnJhbWluZyBkZXNpZ25pbmcgaW5pdGlhdGl2ZXMsIGFjdGl2aXRpZXMsIG91dGNvbWVzIHNwZWNpZmljYWxseSB0byBhZGRyZXNzIHRoZRABGAEYARIKCgYKABAUGAAQARpdClkKU1dpdGhpbiB0aGUgVGhlb3J5IG9mIENoYW5nZSwgZW5zdXJlIGNsYXJpdHkgb24gdGhvc2UgaW50ZXJ2ZW50aW9ucyB0aGF0IGFkZHJlc3MgdGhlEAEYABABWgx4cjVwcmdjcGZ6aTJyAiAAeACCARRzdWdnZXN0Lnlma2FhaHJuaHZ2ZJoBBggAEAAYABjh18+B8zIgkr7agfMyQhRzdWdnZXN0Lnlma2FhaHJuaHZ2ZCKwAgoLQUFBQmpuYUpOMjAS+gEKC0FBQUJqbmFKTjIwEgtBQUFCam5hSk4yMBoNCgl0ZXh0L2h0bWwSACIOCgp0ZXh0L3BsYWluEgAqGyIVMTE3NjY0MjUzMTM0MjM4NDk0ODAwKAA4ADDb0sTy7DI4+JDF8uwySloKJGFwcGxpY2F0aW9uL3ZuZC5nb29nbGUtYXBwcy5kb2NzLm1kcxoywtfa5AEsCioKFgoQdXBkYXRlIGFuZCBhZGFwdBABGAASDgoIZGVzaWduIGEQARgAGAFaDG53bGVzOXEwcHhwa3ICIAB4AIIBFHN1Z2dlc3QuMXZqODRzdWV0NndvmgEGCAAQABgAsAEAuAEAGNvSxPLsMiD4kMXy7DIwAEIUc3VnZ2VzdC4xdmo4NHN1ZXQ2d28ikgIKC0FBQUJqbXpUem00EtwBCgtBQUFCam16VHptNBILQUFBQmptelR6bTQaDQoJdGV4dC9odG1sEgAiDgoKdGV4dC9wbGFpbhIAKhsiFTEwOTcxMTAzOTc1OTk0Mjc2Mjc1OSgAOAAw8Ymbz+0yOOCNm8/tMko8CiRhcHBsaWNhdGlvbi92bmQuZ29vZ2xlLWFwcHMuZG9jcy5tZHMaFMLX2uQBDhoMCggKAm1lEAEYABABWgxxYW0wZGlmeWN2Y2JyAiAAeACCARRzdWdnZXN0Lmd4eXFrZXd5dmM0cZoBBggAEAAYALABALgBABjxiZvP7TIg4I2bz+0yMABCFHN1Z2dlc3QuZ3h5cWtld3l2YzRxIu0CCgtBQUFCa2haY3ZMQRK5AgoLQUFBQmtoWmN2TEESC0FBQUJraFpjdkxBGg0KCXRleHQvaHRtbBIAIg4KCnRleHQvcGxhaW4SACobIhUxMTIxMjYzNTE1OTQ1NzkxOTc1NTYoADgAMMbPyYHzMjjgmcuB8zJKngEKJGFwcGxpY2F0aW9uL3ZuZC5nb29nbGUtYXBwcy5kb2NzLm1kcxp2wtfa5AFwGm4KagpkSWRlbnRpZnkga2V5IHJpc2tzIHRvIElHQ1AgYW5kIHRoZSBwcm9wb3NlZCBpbml0aWF0aXZlcyAvIGFjdGl2aXRpZXMgKyBwcm9wb3NlZCBtaXRpZ2F0aW9uczsgU3VzdGFpbhABGAEQAVoMM2V5NmJ1eTBld3YxcgIgAHgAggEUc3VnZ2VzdC52Z2tnZWsyYWc0NGqaAQYIABAAGAAYxs/JgfMyIOCZy4HzMkIUc3VnZ2VzdC52Z2tnZWsyYWc0NGoilwIKC0FBQUJqbXpUem1rEuEBCgtBQUFCam16VHptaxILQUFBQmptelR6bWsaDQoJdGV4dC9odG1sEgAiDgoKdGV4dC9wbGFpbhIAKhsiFTEwOTcxMTAzOTc1OTk0Mjc2Mjc1OSgAOAAwp7qWz+0yOMHTls/tMkpBCiRhcHBsaWNhdGlvbi92bmQuZ29vZ2xlLWFwcHMuZG9jcy5tZHMaGcLX2uQBExoRCg0KB21lbnQgb2YQARgAEAFaDDVmMXNudWpybTdvcXICIAB4AIIBFHN1Z2dlc3Qubm41OTh5bGlpdG5xmgEGCAAQABgAsAEAuAEAGKe6ls/tMiDB05bP7TIwAEIUc3VnZ2VzdC5ubjU5OHlsaWl0bnEi0iMKC0FBQUJqbXpUempJEqAjCgtBQUFCam16VHpqSRILQUFBQmptelR6akkakgYKCXRleHQvaHRtbBKEBk90aGVyIGtleSAvIHBvdGVudGlhbCBhcmVhcyB0aGF0IGNvdWxkIChzaG91bGQ/KSBiZSBpbiB0aGUgbmV3IElHQ1Agc3RyYXRlZ3ktIChpKSBSaXNrcyAtIElkZW50aWZ5IGtleSByaXNrcyB0byBJR0NQIGFuZCB0aGXCoHByb3Bvc2VkwqBpbml0aWF0aXZlcyAvIGFjdGl2aXRpZXMgKyBwcm9wb3NlZCBtaXRpZ2F0aW9uczsgKGlpKSBTdXN0YWluYWJpbGl0eSAtIHdoYXQgY2FuIElHQ1AgZG8gdG8gYmVjb21lIGFuIGluY3JlYXNpbmdseSBzdXN0YWluYWJsZSBvcmdhbmlzYXRpb24gKGFuZCB0aHVzIGhlbHAgaXRzIGluZGVwZW5kZW5jZSk/OyAoaWlpKSBHb3Zlcm5hbmNlIC0gaG93IHdpbGwgSUdDUCBiZSBnb3Zlcm5lZD87wqA8YnI+KGl2KSBCdWRnZXQgPHM+RXN0aW1hdGluZyB0aGUgY29zdCBvZiBkZWxpdmVyaW5nIHRoZSBzdHJhdGVneSAoZS5nLiBwZXIgJnF1b3Q7aW5pdGlhdGl2ZSZxdW90OyBvciBwZXIgT2JqZWN0aXZlKTwvcz4gaW1wb3J0YW50IGZvciBwb3RlbnRpYWzCoGRvbm9ycyBhbmQgZm9yIElHQ1AgdG8gdW5kZXJzdGFuZCB0aGUgY29zdCBvZiB3aGF0IGlzIHByb3Bvc2VkICh0aGlzIGNvdWxkIGJlIGFuIGluaXRpYWwgZGV0YWlsZWQgMyB5ZWFyIHdvcmtwbGFuIGFuZCBidWRnZXQ/KcKgIC4uwqAgKyBGdW5kcmFpc2luZyBTdHJhdGVneSB2cyB0aGlzPzxicj4odikgU3Rha2Vob2xkZXIgQW5hbHlzaXM/PGJyPih2aSkgRW52aXJvbm1lbnRhbCBhbmQgU29jaWFsIFNhZmVndWFyZGluZyAoSSB0aGluayB0aGlzIGlzIGVzc2VudGlhbCki+wUKCnRleHQvcGxhaW4S7AVPdGhlciBrZXkgLyBwb3RlbnRpYWwgYXJlYXMgdGhhdCBjb3VsZCAoc2hvdWxkPykgYmUgaW4gdGhlIG5ldyBJR0NQIHN0cmF0ZWd5LSAoaSkgUmlza3MgLSBJZGVudGlmeSBrZXkgcmlza3MgdG8gSUdDUCBhbmQgdGhlwqBwcm9wb3NlZMKgaW5pdGlhdGl2ZXMgLyBhY3Rpdml0aWVzICsgcHJvcG9zZWQgbWl0aWdhdGlvbnM7IChpaSkgU3VzdGFpbmFiaWxpdHkgLSB3aGF0IGNhbiBJR0NQIGRvIHRvIGJlY29tZSBhbiBpbmNyZWFzaW5nbHkgc3VzdGFpbmFibGUgb3JnYW5pc2F0aW9uIChhbmQgdGh1cyBoZWxwIGl0cyBpbmRlcGVuZGVuY2UpPzsgKGlpaSkgR292ZXJuYW5jZSAtIGhvdyB3aWxsIElHQ1AgYmUgZ292ZXJuZWQ/O8KgCihpdikgQnVkZ2V0IC1Fc3RpbWF0aW5nIHRoZSBjb3N0IG9mIGRlbGl2ZXJpbmcgdGhlIHN0cmF0ZWd5IChlLmcuIHBlciAiaW5pdGlhdGl2ZSIgb3IgcGVyIE9iamVjdGl2ZSktIGltcG9ydGFudCBmb3IgcG90ZW50aWFswqBkb25vcnMgYW5kIGZvciBJR0NQIHRvIHVuZGVyc3RhbmQgdGhlIGNvc3Qgb2Ygd2hhdCBpcyBwcm9wb3NlZCAodGhpcyBjb3VsZCBiZSBhbiBpbml0aWFsIGRldGFpbGVkIDMgeWVhciB3b3JrcGxhbiBhbmQgYnVkZ2V0PynCoCAuLsKgICsgRnVuZHJhaXNpbmcgU3RyYXRlZ3kgdnMgdGhpcz8KKHYpIFN0YWtlaG9sZGVyIEFuYWx5c2lzPwoodmkpIEVudmlyb25tZW50YWwgYW5kIFNvY2lhbCBTYWZlZ3VhcmRpbmcgKEkgdGhpbmsgdGhpcyBpcyBlc3NlbnRpYWwpKhsiFTEwOTcxMTAzOTc1OTk0Mjc2Mjc1OSgAOAAwvNbJzu0yOL+M+oHzMkKCEAoLQUFBQmtoWmN2TFkSC0FBQUJqbXpUempJGrcFCgl0ZXh0L2h0bWwSqQVAPGEgaHJlZj0ibWFpbHRvOkRUYW5uZXJAd3dmLm9yZy51ayIgdGFyZ2V0PSJfYmxhbmsiPkRUYW5uZXJAd3dmLm9yZy51azwvYT7CoCBHb29kIHBvaW50cyBEYXZpZCwgSSYjMzk7dmUgYWRkZWQgbW9zdCBvZiB0aGVzZSBpbiB0aGUgbGlzdCBvZiBvYmplY3RpdmVzIHRvIGJlIGFjaGlldmVkIHdpdGggdGhlIGV4Y2VwdGlvbiBvZjo8YnI+LSBHb3Zlcm5hbmNlIGFzIEkgdGhpbmsgdGhpcyBpcyBiZXN0IGFkZHJlc3NlZCBhdCBCb2FyZCBsZXZlbDxicj4tIFdvcmsgcGxhbnMsIHRoaXMgbWF5IGJlIHRvbyBtdWNoIGRldGFpbCBmb3IgYSBmaXJzdCBjb25zdWx0YW5jeSBvbiBhIHN0cmF0ZWd5IGJ1dCBoYXBweSB0byBiZSBjb252aW5jZWQgb3RoZXJ3aXNlITxicj48YnI+SSBhZGRlZCBidWRnZXQgdGhvdWdoLCBldmVuIGlmIGluZGljYXRpdmUgKHdoaWNoIGl0IHdvdWxkIGJlIHdpdGhvdXQgd29yayBwbGFucykgaXQgd291bGQgYmUgaHVnZWx5IHVzZWZ1bCB0byBoYXZlLjxicj48YnI+QDxhIGhyZWY9Im1haWx0bzp3bWFrYW1ib0BpZ2NwLm9yZyIgdGFyZ2V0PSJfYmxhbmsiPndtYWthbWJvQGlnY3Aub3JnPC9hPiBzb21lIG9mIHRoaXMgYXJlIHNpZ25pZmljYW50IGFkZGl0aW9ucyBzbyBzZWUgd2hhdCB5b3UgdGhpbmsgYW5kIGNoZWNrIHlvdSBhcmUgaGFwcHkgd2l0aCB3aGF0IEkgYWRkZWQiswQKCnRleHQvcGxhaW4SpARARFRhbm5lckB3d2Yub3JnLnVrwqAgR29vZCBwb2ludHMgRGF2aWQsIEkndmUgYWRkZWQgbW9zdCBvZiB0aGVzZSBpbiB0aGUgbGlzdCBvZiBvYmplY3RpdmVzIHRvIGJlIGFjaGlldmVkIHdpdGggdGhlIGV4Y2VwdGlvbiBvZjoKLSBHb3Zlcm5hbmNlIGFzIEkgdGhpbmsgdGhpcyBpcyBiZXN0IGFkZHJlc3NlZCBhdCBCb2FyZCBsZXZlbAotIFdvcmsgcGxhbnMsIHRoaXMgbWF5IGJlIHRvbyBtdWNoIGRldGFpbCBmb3IgYSBmaXJzdCBjb25zdWx0YW5jeSBvbiBhIHN0cmF0ZWd5IGJ1dCBoYXBweSB0byBiZSBjb252aW5jZWQgb3RoZXJ3aXNlIQoKSSBhZGRlZCBidWRnZXQgdGhvdWdoLCBldmVuIGlmIGluZGljYXRpdmUgKHdoaWNoIGl0IHdvdWxkIGJlIHdpdGhvdXQgd29yayBwbGFucykgaXQgd291bGQgYmUgaHVnZWx5IHVzZWZ1bCB0byBoYXZlLgoKQHdtYWthbWJvQGlnY3Aub3JnIHNvbWUgb2YgdGhpcyBhcmUgc2lnbmlmaWNhbnQgYWRkaXRpb25zIHNvIHNlZSB3aGF0IHlvdSB0aGluayBhbmQgY2hlY2sgeW91IGFyZSBoYXBweSB3aXRoIHdoYXQgSSBhZGRlZCobIhUxMTIxMjYzNTE1OTQ1NzkxOTc1NTYoADgAML+M+oHzMji/jPqB8zJaDDhlYmJ4NGppd2N1NXICIAB4AJoBBggAEAAYAKoBrAUSqQVAPGEgaHJlZj0ibWFpbHRvOkRUYW5uZXJAd3dmLm9yZy51ayIgdGFyZ2V0PSJfYmxhbmsiPkRUYW5uZXJAd3dmLm9yZy51azwvYT7CoCBHb29kIHBvaW50cyBEYXZpZCwgSSYjMzk7dmUgYWRkZWQgbW9zdCBvZiB0aGVzZSBpbiB0aGUgbGlzdCBvZiBvYmplY3RpdmVzIHRvIGJlIGFjaGlldmVkIHdpdGggdGhlIGV4Y2VwdGlvbiBvZjo8YnI+LSBHb3Zlcm5hbmNlIGFzIEkgdGhpbmsgdGhpcyBpcyBiZXN0IGFkZHJlc3NlZCBhdCBCb2FyZCBsZXZlbDxicj4tIFdvcmsgcGxhbnMsIHRoaXMgbWF5IGJlIHRvbyBtdWNoIGRldGFpbCBmb3IgYSBmaXJzdCBjb25zdWx0YW5jeSBvbiBhIHN0cmF0ZWd5IGJ1dCBoYXBweSB0byBiZSBjb252aW5jZWQgb3RoZXJ3aXNlITxicj48YnI+SSBhZGRlZCBidWRnZXQgdGhvdWdoLCBldmVuIGlmIGluZGljYXRpdmUgKHdoaWNoIGl0IHdvdWxkIGJlIHdpdGhvdXQgd29yayBwbGFucykgaXQgd291bGQgYmUgaHVnZWx5IHVzZWZ1bCB0byBoYXZlLjxicj48YnI+QDxhIGhyZWY9Im1haWx0bzp3bWFrYW1ib0BpZ2NwLm9yZyIgdGFyZ2V0PSJfYmxhbmsiPndtYWthbWJvQGlnY3Aub3JnPC9hPiBzb21lIG9mIHRoaXMgYXJlIHNpZ25pZmljYW50IGFkZGl0aW9ucyBzbyBzZWUgd2hhdCB5b3UgdGhpbmsgYW5kIGNoZWNrIHlvdSBhcmUgaGFwcHkgd2l0aCB3aGF0IEkgYWRkZWRKEwoKdGV4dC9wbGFpbhIFc2hhbGxaDHY5ZXZkejZta2Q4YXICIAB4AJoBBggAEAAYAKoBhwYShAZPdGhlciBrZXkgLyBwb3RlbnRpYWwgYXJlYXMgdGhhdCBjb3VsZCAoc2hvdWxkPykgYmUgaW4gdGhlIG5ldyBJR0NQIHN0cmF0ZWd5LSAoaSkgUmlza3MgLSBJZGVudGlmeSBrZXkgcmlza3MgdG8gSUdDUCBhbmQgdGhlwqBwcm9wb3NlZMKgaW5pdGlhdGl2ZXMgLyBhY3Rpdml0aWVzICsgcHJvcG9zZWQgbWl0aWdhdGlvbnM7IChpaSkgU3VzdGFpbmFiaWxpdHkgLSB3aGF0IGNhbiBJR0NQIGRvIHRvIGJlY29tZSBhbiBpbmNyZWFzaW5nbHkgc3VzdGFpbmFibGUgb3JnYW5pc2F0aW9uIChhbmQgdGh1cyBoZWxwIGl0cyBpbmRlcGVuZGVuY2UpPzsgKGlpaSkgR292ZXJuYW5jZSAtIGhvdyB3aWxsIElHQ1AgYmUgZ292ZXJuZWQ/O8KgPGJyPihpdikgQnVkZ2V0IDxzPkVzdGltYXRpbmcgdGhlIGNvc3Qgb2YgZGVsaXZlcmluZyB0aGUgc3RyYXRlZ3kgKGUuZy4gcGVyICZxdW90O2luaXRpYXRpdmUmcXVvdDsgb3IgcGVyIE9iamVjdGl2ZSk8L3M+IGltcG9ydGFudCBmb3IgcG90ZW50aWFswqBkb25vcnMgYW5kIGZvciBJR0NQIHRvIHVuZGVyc3RhbmQgdGhlIGNvc3Qgb2Ygd2hhdCBpcyBwcm9wb3NlZCAodGhpcyBjb3VsZCBiZSBhbiBpbml0aWFsIGRldGFpbGVkIDMgeWVhciB3b3JrcGxhbiBhbmQgYnVkZ2V0PynCoCAuLsKgICsgRnVuZHJhaXNpbmcgU3RyYXRlZ3kgdnMgdGhpcz88YnI+KHYpIFN0YWtlaG9sZGVyIEFuYWx5c2lzPzxicj4odmkpIEVudmlyb25tZW50YWwgYW5kIFNvY2lhbCBTYWZlZ3VhcmRpbmcgKEkgdGhpbmsgdGhpcyBpcyBlc3NlbnRpYWwpsAEAuAEAGLzWyc7tMiC/jPqB8zIwAEIQa2l4LmhtcGI2aHloaDRsMCKqAgoLQUFBQmptelR6bW8S9AEKC0FBQUJqbXpUem1vEgtBQUFCam16VHptbxoNCgl0ZXh0L2h0bWwSACIOCgp0ZXh0L3BsYWluEgAqGyIVMTA5NzExMDM5NzU5OTQyNzYyNzU5KAA4ADD1/5jP7TI4opKZz+0ySlQKJGFwcGxpY2F0aW9uL3ZuZC5nb29nbGUtYXBwcy5kb2NzLm1kcxoswtfa5AEmEgoKBgoAEBQYABABGhgKFAoOZmFjaWxpdGF0ZSB0aGUQARgAEAFaDGV5ODZmdTNkbnpxYXICIAB4AIIBFHN1Z2dlc3QuajBmcDlvMWRteW1mmgEGCAAQABgAsAEAuAEAGPX/mM/tMiCikpnP7TIwAEIUc3VnZ2VzdC5qMGZwOW8xZG15bWYiowIKC0FBQUJqbXpUem5REu0BCgtBQUFCam16VHpuURILQUFBQmptelR6blEaDQoJdGV4dC9odG1sEgAiDgoKdGV4dC9wbGFpbhIAKhsiFTEwOTcxMTAzOTc1OTk0Mjc2Mjc1OSgAOAAwioWmz+0yOP6Xps/tMkpNCiRhcHBsaWNhdGlvbi92bmQuZ29vZ2xlLWFwcHMuZG9jcy5tZHMaJcLX2uQBHxIKCgYKABAUGAAQARoRCg0KB21lbnQgb2YQARgAEAFaDHkxMm8zdngwbmI3ZXICIAB4AIIBFHN1Z2dlc3QubjZmZ3pza3BqNG1pmgEGCAAQABgAsAEAuAEAGIqFps/tMiD+l6bP7TIwAEIUc3VnZ2VzdC5uNmZnenNrcGo0bWki8wgKC0FBQUJqYVhMbWg4EsEICgtBQUFCamFYTG1oOBILQUFBQmphWExtaDgaiQIKCXRleHQvaHRtbBL7AUkgZmVlbCB0aGVzZSBmaXJzdCB0d28gdGFza3Mgd2lsbCByZWx5IG9uIGxpdGVyYXR1cmUgZnJvbSBleGlzdGluZyBzdHVkaWVzLiBUaHVzIEkgd291bGQgc2F5PGJyPjxicj4mcXVvdDtVbmRlcnRha2UgY29tcHJlaGVuc2l2ZSByZXZpZXcgb2YgZXhpc3RpbmcgbGl0ZXJhdHVyZS8gZG9jdW1lbnRzIHRvIGFzc2VzcyBzdGF0dXMgb2YgR29yaWxsYXMsIGlkZW50aWZ5IHRocmVhdHMsIG9wcG9ydHVuaXRpZXMgYW5kIGdhcHMuLi4uJnF1b3Q7IvoBCgp0ZXh0L3BsYWluEusBSSBmZWVsIHRoZXNlIGZpcnN0IHR3byB0YXNrcyB3aWxsIHJlbHkgb24gbGl0ZXJhdHVyZSBmcm9tIGV4aXN0aW5nIHN0dWRpZXMuIFRodXMgSSB3b3VsZCBzYXkKCiJVbmRlcnRha2UgY29tcHJlaGVuc2l2ZSByZXZpZXcgb2YgZXhpc3RpbmcgbGl0ZXJhdHVyZS8gZG9jdW1lbnRzIHRvIGFzc2VzcyBzdGF0dXMgb2YgR29yaWxsYXMsIGlkZW50aWZ5IHRocmVhdHMsIG9wcG9ydHVuaXRpZXMgYW5kIGdhcHMuLi4uIiobIhUxMTYxMTg2ODU4ODQ1NTQ5MTU0MjAoADgAMP6O5cjtMjj+juXI7TJKywEKCnRleHQvcGxhaW4SvAFDb25kdWN0IGEgY29tcHJlaGVuc2l2ZSBhc3Nlc3NtZW50IG9mIHRoZSBjdXJyZW50IHN0YXR1cyBvZiBtb3VudGFpbiBnb3JpbGxhIHBvcHVsYXRpb25zIGFuZCB0aGVpciBoYWJpdGF0cy4KSWRlbnRpZnkga2V5IHRocmVhdHMsIG9wcG9ydHVuaXRpZXMsIGFuZCBnYXBzIHdpdGhpbiB0aGUgb3BlcmF0aW9uYWwgbGFuZHNjYXBlLloMMnBrdG5lOXhuOTZpcgIgAHgAmgEGCAAQABgAqgH+ARL7AUkgZmVlbCB0aGVzZSBmaXJzdCB0d28gdGFza3Mgd2lsbCByZWx5IG9uIGxpdGVyYXR1cmUgZnJvbSBleGlzdGluZyBzdHVkaWVzLiBUaHVzIEkgd291bGQgc2F5PGJyPjxicj4mcXVvdDtVbmRlcnRha2UgY29tcHJlaGVuc2l2ZSByZXZpZXcgb2YgZXhpc3RpbmcgbGl0ZXJhdHVyZS8gZG9jdW1lbnRzIHRvIGFzc2VzcyBzdGF0dXMgb2YgR29yaWxsYXMsIGlkZW50aWZ5IHRocmVhdHMsIG9wcG9ydHVuaXRpZXMgYW5kIGdhcHMuLi4uJnF1b3Q7sAEAuAEAGP6O5cjtMiD+juXI7TIwAEIQa2l4LmZyZzRpd2ZtN2p2biL1AgoLQUFBQmptelR6bkUSvwIKC0FBQUJqbXpUem5FEgtBQUFCam16VHpuRRoNCgl0ZXh0L2h0bWwSACIOCgp0ZXh0L3BsYWluEgAqGyIVMTA5NzExMDM5NzU5OTQyNzYyNzU5KAA4ADCU7qHP7TI41oynz+0ySp4BCiRhcHBsaWNhdGlvbi92bmQuZ29vZ2xlLWFwcHMuZG9jcy5tZHMadsLX2uQBcBpuCmoKZGJ1aWxkIG9uIElHQ1BzIHN0cmF0ZWdpYyBwbGFuICgyMDIwLTIwMjUpIGFuZCB0aGUga2V5IGxlc3NvbnMgbGVhcm50IGR1cmluZyBpdHMgZGVsaXZlcnkgYW5kIGZhY2lsaXQQARgBEAFaDGQyOGpzMGdrdjd3aHICIAB4AIIBFHN1Z2dlc3Qubmp6OXUwbG0wdmFlmgEGCAAQABgAsAEAuAEAGJTuoc/tMiDWjKfP7TIwAEIUc3VnZ2VzdC5uano5dTBsbTB2YWUilgIKC0FBQUJqbmFKTjJ3EuABCgtBQUFCam5hSk4ydxILQUFBQmpuYUpOMncaDQoJdGV4dC9odG1sEgAiDgoKdGV4dC9wbGFpbhIAKhsiFTExNzY2NDI1MzEzNDIzODQ5NDgwMCgAOAAwtYvC8uwyOOeRwvLsMkpBCiRhcHBsaWNhdGlvbi92bmQuZ29vZ2xlLWFwcHMuZG9jcy5tZHMaGcLX2uQBExoRCg0KB3VwZGF0ZWQQARgAEAFaC2ozbHMybTFvMWs4cgIgAHgAggEUc3VnZ2VzdC4xYTRpODNxOGU1MTSaAQYIABAAGACwAQC4AQAYtYvC8uwyIOeRwvLsMjAAQhRzdWdnZXN0LjFhNGk4M3E4ZTUxNCKYAgoLQUFBQmptelR6aWMS4gEKC0FBQUJqbXpUemljEgtBQUFCam16VHppYxoNCgl0ZXh0L2h0bWwSACIOCgp0ZXh0L3BsYWluEgAqGyIVMTA5NzExMDM5NzU5OTQyNzYyNzU5KAA4ADDuvq/O7TI4oMyvzu0ySkIKJGFwcGxpY2F0aW9uL3ZuZC5nb29nbGUtYXBwcy5kb2NzLm1kcxoawtfa5AEUGhIKDgoIZHJpdmVycywQARgAEAFaDDFubm1pNm45eHRyaHICIAB4AIIBFHN1Z2dlc3QucDI2aDByY3gzdGpmmgEGCAAQABgAsAEAuAEAGO6+r87tMiCgzK/O7TIwAEIUc3VnZ2VzdC5wMjZoMHJjeDN0amYingIKC0FBQUJqbXpUem1ZEugBCgtBQUFCam16VHptWRILQUFBQmptelR6bVkaDQoJdGV4dC9odG1sEgAiDgoKdGV4dC9wbGFpbhIAKhsiFTEwOTcxMTAzOTc1OTk0Mjc2Mjc1OSgAOAAwpdiVz+0yOK/qlc/tMkpICiRhcHBsaWNhdGlvbi92bmQuZ29vZ2xlLWFwcHMuZG9jcy5tZHMaIMLX2uQBGhoYChQKDmZhY2lsaXRhdGUgdGhlEAEYABABWgwzM2YyenJtcGhieGxyAiAAeACCARRzdWdnZXN0LnJvYW41amd6bzl4dZoBBggAEAAYALABALgBABil2JXP7TIgr+qVz+0yMABCFHN1Z2dlc3Qucm9hbjVqZ3pvOXh1IrwECgtBQUFCamFGVHV3WRKKBAoLQUFBQmphRlR1d1kSC0FBQUJqYUZUdXdZGjkKCXRleHQvaHRtbBIsRm9yIHRoZSBzYW1lIHBlcmlvZCBkb2VzIG5vdCBmaXQgaW4gaGVyZSBvcj8iOgoKdGV4dC9wbGFpbhIsRm9yIHRoZSBzYW1lIHBlcmlvZCBkb2VzIG5vdCBmaXQgaW4gaGVyZSBvcj8qGyIVMTE3NTcxNDY1MzYyODU4MzU2MDQ4KAA4ADDP7tPA7TI4+8muxu0yQtQBCgtBQUFCalpjRVZEURILQUFBQmphRlR1d1kaJQoJdGV4dC9odG1sEhhUcmllZCB0byBtYWtlIGl0IGNsZWFyZXIiJgoKdGV4dC9wbGFpbhIYVHJpZWQgdG8gbWFrZSBpdCBjbGVhcmVyKhsiFTExMjEyNjM1MTU5NDU3OTE5NzU1NigAOAAw+8muxu0yOPvJrsbtMloMdXpuc3A4MjZoZmVicgIgAHgAmgEGCAAQABgAqgEaEhhUcmllZCB0byBtYWtlIGl0IGNsZWFyZXKwAQC4AQBKIQoKdGV4dC9wbGFpbhITZm9yIHRoZSBzYW1lIHBlcmlvZFoMZTFlOGduYnpnMmp0cgIgAHgAmgEGCAAQABgAqgEuEixGb3IgdGhlIHNhbWUgcGVyaW9kIGRvZXMgbm90IGZpdCBpbiBoZXJlIG9yP7ABALgBABjP7tPA7TIg+8muxu0yMABCEGtpeC45NHM2cm9pZ3U5YmoiqgIKC0FBQUJqWmNFVkZVEvQBCgtBQUFCalpjRVZGVRILQUFBQmpaY0VWRlUaDQoJdGV4dC9odG1sEgAiDgoKdGV4dC9wbGFpbhIAKhsiFTExMjEyNjM1MTU5NDU3OTE5NzU1NigAOAAw38vDxu0yOIT6w8btMkpUCiRhcHBsaWNhdGlvbi92bmQuZ29vZ2xlLWFwcHMuZG9jcy5tZHMaLMLX2uQBJhokCiAKGihvciBlcXVpdmFsZW50IGV4cGVyaWVuY2UpEAEYABABWgxzMXQ5bmFiaG9rMmVyAiAAeACCARRzdWdnZXN0LndldzF5aWg3YTNxaJoBBggAEAAYALABALgBABjfy8PG7TIghPrDxu0yMABCFHN1Z2dlc3Qud2V3MXlpaDdhM3FoIskDCgtBQUFCam16VHpuQRKYAwoLQUFBQmptelR6bkESC0FBQUJqbXpUem5BGl4KCXRleHQvaHRtbBJRUGxlYXNlIHNlZSBlYXJsaWVyIGNvbW1lbnRzIGZvciBvdGhlciBzZWN0aW9ucyB0aGF0IGNvdWxkIChzaG91bGQ/KSBiZSBjb3ZlcmVkIC4uIl8KCnRleHQvcGxhaW4SUVBsZWFzZSBzZWUgZWFybGllciBjb21tZW50cyBmb3Igb3RoZXIgc2VjdGlvbnMgdGhhdCBjb3VsZCAoc2hvdWxkPykgYmUgY292ZXJlZCAuLiobIhUxMDk3MTEwMzk3NTk5NDI3NjI3NTkoADgAMO39n8/tMjjt/Z/P7TJKFwoKdGV4dC9wbGFpbhIJZnJhbWV3b3JrWgxtdWF6d3Q5MjN3OW5yAiAAeACaAQYIABAAGACqAVMSUVBsZWFzZSBzZWUgZWFybGllciBjb21tZW50cyBmb3Igb3RoZXIgc2VjdGlvbnMgdGhhdCBjb3VsZCAoc2hvdWxkPykgYmUgY292ZXJlZCAuLrABALgBABjt/Z/P7TIg7f2fz+0yMABCD2tpeC5tMjZtaTJmZjFmZSLfAwoLQUFBQmptelR6bVUSrgMKC0FBQUJqbXpUem1VEgtBQUFCam16VHptVRpnCgl0ZXh0L2h0bWwSWlNlZSBteSBwcmV2aW91cyBjb21tZW50IGZvciBvdGhlciBhcmVhcyB0aGF0IGNvdWxkIChzaG91bGQ/KSBiZSB1bmRlciB0aGUgc2NvcGUgb2Ygd29yayAuLiJoCgp0ZXh0L3BsYWluElpTZWUgbXkgcHJldmlvdXMgY29tbWVudCBmb3Igb3RoZXIgYXJlYXMgdGhhdCBjb3VsZCAoc2hvdWxkPykgYmUgdW5kZXIgdGhlIHNjb3BlIG9mIHdvcmsgLi4qGyIVMTA5NzExMDM5NzU5OTQyNzYyNzU5KAA4ADDJkI/P7TI4yZCPz+0yShIKCnRleHQvcGxhaW4SBFdvcmtaDGR5MDE2bTJjODdheHICIAB4AJoBBggAEAAYAKoBXBJaU2VlIG15IHByZXZpb3VzIGNvbW1lbnQgZm9yIG90aGVyIGFyZWFzIHRoYXQgY291bGQgKHNob3VsZD8pIGJlIHVuZGVyIHRoZSBzY29wZSBvZiB3b3JrIC4usAEAuAEAGMmQj8/tMiDJkI/P7TIwAEIPa2l4Lm9hNmw2bndxYWgxIpUCCgtBQUFCalpjRVZHQRLfAQoLQUFBQmpaY0VWR0ESC0FBQUJqWmNFVkdBGg0KCXRleHQvaHRtbBIAIg4KCnRleHQvcGxhaW4SACobIhUxMTIxMjYzNTE1OTQ1NzkxOTc1NTYoADgAMLHPxMbtMjiq4sTG7TJKPwokYXBwbGljYXRpb24vdm5kLmdvb2dsZS1hcHBzLmRvY3MubWRzGhfC19rkAREaDwoLCgVidXQgbhABGAAQAVoMdnBwcHRuOGljazI5cgIgAHgAggEUc3VnZ2VzdC5xajRtZGp4MmJ3M3iaAQYIABAAGACwAQC4AQAYsc/Exu0yIKrixMbtMjAAQhRzdWdnZXN0LnFqNG1kangyYnczeCKTBwoLQUFBQmptelR6bHcS4QYKC0FBQUJqbXpUemx3EgtBQUFCam16VHpsdxr1AQoJdGV4dC9odG1sEucBSSB0aGluayB3ZSBuZWVkIGFuIG9wZW5pbmcgcGFyYWdyYXBoIGhlcmUgdGhhdCByZWNvZ25pc2VzIHRoYXQgYSBwcmV2aW91cyBJR0NQIHN0cmF0ZWd5wqB3YXMgaW4gcGxhY2UgLSBhbmQgdGhhdCBzaG91bGQgYmUgYnVpbHQgb24sIHRoZSBzdGFydGluZyBwbGFjZSBmb3IgdGhlIGNvbnN1bHRhbnQocykgdG8gd29yayB3aXRoIElHQ1AgYW5kIG90aGVycyB0byBkZXZlbG9wIGEgbmV3IHN0cmF0ZWd5IC4uIvYBCgp0ZXh0L3BsYWluEucBSSB0aGluayB3ZSBuZWVkIGFuIG9wZW5pbmcgcGFyYWdyYXBoIGhlcmUgdGhhdCByZWNvZ25pc2VzIHRoYXQgYSBwcmV2aW91cyBJR0NQIHN0cmF0ZWd5wqB3YXMgaW4gcGxhY2UgLSBhbmQgdGhhdCBzaG91bGQgYmUgYnVpbHQgb24sIHRoZSBzdGFydGluZyBwbGFjZSBmb3IgdGhlIGNvbnN1bHRhbnQocykgdG8gd29yayB3aXRoIElHQ1AgYW5kIG90aGVycyB0byBkZXZlbG9wIGEgbmV3IHN0cmF0ZWd5IC4uKhsiFTEwOTcxMTAzOTc1OTk0Mjc2Mjc1OSgAOAAwiur7zu0yOIrq+87tMkoYCgp0ZXh0L3BsYWluEgpPYmplY3RpdmVzWgw2dXpxMmU3MDZ1Nm1yAiAAeACaAQYIABAAGACqAeoBEucBSSB0aGluayB3ZSBuZWVkIGFuIG9wZW5pbmcgcGFyYWdyYXBoIGhlcmUgdGhhdCByZWNvZ25pc2VzIHRoYXQgYSBwcmV2aW91cyBJR0NQIHN0cmF0ZWd5wqB3YXMgaW4gcGxhY2UgLSBhbmQgdGhhdCBzaG91bGQgYmUgYnVpbHQgb24sIHRoZSBzdGFydGluZyBwbGFjZSBmb3IgdGhlIGNvbnN1bHRhbnQocykgdG8gd29yayB3aXRoIElHQ1AgYW5kIG90aGVycyB0byBkZXZlbG9wIGEgbmV3IHN0cmF0ZWd5IC4usAEAuAEAGIrq+87tMiCK6vvO7TIwAEIQa2l4Lm4yOWNwZDdvMjA4diKQAgoLQUFBQmpaY0VWQUES2wEKC0FBQUJqWmNFVkFBEgtBQUFCalpjRVZBQRoNCgl0ZXh0L2h0bWwSACIOCgp0ZXh0L3BsYWluEgAqGyIVMTEyMTI2MzUxNTk0NTc5MTk3NTU2KAA4ADC2/fnF7TI4o4P6xe0ySjwKJGFwcGxpY2F0aW9uL3ZuZC5nb29nbGUtYXBwcy5kb2NzLm1kcxoUwtfa5AEOGgwKCAoCdG8QARgAEAFaDGF6czAwOXhqd2RsNHICIAB4AIIBE3N1Z2dlc3QuMjA5dXJueG43aWGaAQYIABAAGACwAQC4AQAYtv35xe0yIKOD+sXtMjAAQhNzdWdnZXN0LjIwOXVybnhuN2lhIqMCCgtBQUFCam16VHpuYxLtAQoLQUFBQmptelR6bmMSC0FBQUJqbXpUem5jGg0KCXRleHQvaHRtbBIAIg4KCnRleHQvcGxhaW4SACobIhUxMDk3MTEwMzk3NTk5NDI3NjI3NTkoADgAMNDJq8/tMjjA1avP7TJKTQokYXBwbGljYXRpb24vdm5kLmdvb2dsZS1hcHBzLmRvY3MubWRzGiXC19rkAR8SCgoGCgAQFBgAEAEaEQoNCgdtZW50IG9mEAEYABABWgxpMjJ6c3F5bGI3MTlyAiAAeACCARRzdWdnZXN0LnhidTU3cmlieXB4cJoBBggAEAAYALABALgBABjQyavP7TIgwNWrz+0yMABCFHN1Z2dlc3QueGJ1NTdyaWJ5cHhwIq0CCgtBQUFCalpjRVUtcxL3AQoLQUFBQmpaY0VVLXMSC0FBQUJqWmNFVS1zGg0KCXRleHQvaHRtbBIAIg4KCnRleHQvcGxhaW4SACobIhUxMTIxMjYzNTE1OTQ1NzkxOTc1NTYoADgAMPnD98XtMjiR0vvF7TJKVwokYXBwbGljYXRpb24vdm5kLmdvb2dsZS1hcHBzLmRvY3MubWRzGi/C19rkASkKJwoQCgp0cmFuc2l0aW9uEAEYABIRCgtkZXZlbG9wbWVudBABGAAYAVoMdGtrdGxmbXhiYjZycgIgAHgAggEUc3VnZ2VzdC5kd29jYnk2NXhkdWyaAQYIABAAGACwAQC4AQAY+cP3xe0yIJHS+8XtMjAAQhRzdWdnZXN0LmR3b2NieTY1eGR1bCKXAgoLQUFBQmpaY0VWQU0S4QEKC0FBQUJqWmNFVkFNEgtBQUFCalpjRVZBTRoNCgl0ZXh0L2h0bWwSACIOCgp0ZXh0L3BsYWluEgAqGyIVMTEyMTI2MzUxNTk0NTc5MTk3NTU2KAA4ADCchfzF7TI4sov8xe0ySkEKJGFwcGxpY2F0aW9uL3ZuZC5nb29nbGUtYXBwcy5kb2NzLm1kcxoZwtfa5AETGhEKDQoHb25nb2luZxABGAAQAVoMeDQ4ZjV0aDVpbjIxcgIgAHgAggEUc3VnZ2VzdC5majQ4aWYyMGNndjmaAQYIABAAGACwAQC4AQAYnIX8xe0yILKL/MXtMjAAQhRzdWdnZXN0LmZqNDhpZjIwY2d2OSKXAgoLQUFBQmpuYUpOMlkS4QEKC0FBQUJqbmFKTjJZEgtBQUFCam5hSk4yWRoNCgl0ZXh0L2h0bWwSACIOCgp0ZXh0L3BsYWluEgAqGyIVMTE3NjY0MjUzMTM0MjM4NDk0ODAwKAA4ADC7wJXy7DI48caV8uwySkEKJGFwcGxpY2F0aW9uL3ZuZC5nb29nbGUtYXBwcy5kb2NzLm1kcxoZwtfa5AETGhEKDQoHY3VycmVudBABGAAQAVoMa2lrbmU1NmV2NHIwcgIgAHgAggEUc3VnZ2VzdC5tejdoNG83dHpoNHGaAQYIABAAGACwAQC4AQAYu8CV8uwyIPHGlfLsMjAAQhRzdWdnZXN0Lm16N2g0bzd0emg0cSKaCgoLQUFBQmpaY0VWSHcS6AkKC0FBQUJqWmNFVkh3EgtBQUFCalpjRVZIdxqAAwoJdGV4dC9odG1sEvICQDxhIGhyZWY9Im1haWx0bzp3bWFrYW1ib0BpZ2NwLm9yZyIgdGFyZ2V0PSJfYmxhbmsiPndtYWthbWJvQGlnY3Aub3JnPC9hPiBJIHRoaW5rIHdlIG5lZWQgdG8gb3BlbiB1cCB0aGVzZSByZXF1aXJlbWVudHMgYSBsaXR0bGUuwqAgV2UgZG9uJiMzOTt0IG5lY2Vzc2FyaWx5IG5lZWQgc29tZW9uZSB3aG8ga25vd3MgZ29yaWxsYXMgLyB0aGUgYXJlYSByZWFsbHkgd2VsbCwgc29tZXRpbWVzIGFuIG91dHNpZGUgcGVyc3BlY3RpdmUgY2FuIGJlIGFjdHVhbGx5IG1vcmUgYmVuZWZpY2lhbC7CoCBNb3N0IGltcG9ydGFudCBpcyB0aGF0IHRoZXkgYXJlIGdvb2Qgc3RyYXRlZ2ljIHBsYW5uZXJzLsKgIFNlZSB3aGF0IHlvdSB0aGluayBvZiBteSBlZGl0cyLGAgoKdGV4dC9wbGFpbhK3AkB3bWFrYW1ib0BpZ2NwLm9yZyBJIHRoaW5rIHdlIG5lZWQgdG8gb3BlbiB1cCB0aGVzZSByZXF1aXJlbWVudHMgYSBsaXR0bGUuwqAgV2UgZG9uJ3QgbmVjZXNzYXJpbHkgbmVlZCBzb21lb25lIHdobyBrbm93cyBnb3JpbGxhcyAvIHRoZSBhcmVhIHJlYWxseSB3ZWxsLCBzb21ldGltZXMgYW4gb3V0c2lkZSBwZXJzcGVjdGl2ZSBjYW4gYmUgYWN0dWFsbHkgbW9yZSBiZW5lZmljaWFsLsKgIE1vc3QgaW1wb3J0YW50IGlzIHRoYXQgdGhleSBhcmUgZ29vZCBzdHJhdGVnaWMgcGxhbm5lcnMuwqAgU2VlIHdoYXQgeW91IHRoaW5rIG9mIG15IGVkaXRzKhsiFTExMjEyNjM1MTU5NDU3OTE5NzU1NigAOAAwt7jNxu0yOLe4zcbtMkoXCgp0ZXh0L3BsYWluEglncmVhdCBhcGVQBFoMMWpnOXR6ZDh0d3M1cgIgAHgAkgEdChsiFTEwODk1MjQ4NjgyMzQwMDE5MDE2NigAOACaAQYIABAAGACqAfUCEvICQDxhIGhyZWY9Im1haWx0bzp3bWFrYW1ib0BpZ2NwLm9yZyIgdGFyZ2V0PSJfYmxhbmsiPndtYWthbWJvQGlnY3Aub3JnPC9hPiBJIHRoaW5rIHdlIG5lZWQgdG8gb3BlbiB1cCB0aGVzZSByZXF1aXJlbWVudHMgYSBsaXR0bGUuwqAgV2UgZG9uJiMzOTt0IG5lY2Vzc2FyaWx5IG5lZWQgc29tZW9uZSB3aG8ga25vd3MgZ29yaWxsYXMgLyB0aGUgYXJlYSByZWFsbHkgd2VsbCwgc29tZXRpbWVzIGFuIG91dHNpZGUgcGVyc3BlY3RpdmUgY2FuIGJlIGFjdHVhbGx5IG1vcmUgYmVuZWZpY2lhbC7CoCBNb3N0IGltcG9ydGFudCBpcyB0aGF0IHRoZXkgYXJlIGdvb2Qgc3RyYXRlZ2ljIHBsYW5uZXJzLsKgIFNlZSB3aGF0IHlvdSB0aGluayBvZiBteSBlZGl0c7ABALgBABi3uM3G7TIgt7jNxu0yMABCEGtpeC4ydGxsZjhiMnhrN3AizAIKC0FBQUJqbmFKTjJjEpYCCgtBQUFCam5hSk4yYxILQUFBQmpuYUpOMmMaDQoJdGV4dC9odG1sEgAiDgoKdGV4dC9wbGFpbhIAKhsiFTExNzY2NDI1MzEzNDIzODQ5NDgwMCgAOAAw8+WV8uwyOJ6hwfLsMkp2CiRhcHBsaWNhdGlvbi92bmQuZ29vZ2xlLWFwcHMuZG9jcy5tZHMaTsLX2uQBSApGCjIKLCwgYW5kIHdoZXJlIG5lY2Vzc2FyeSwgdXBkYXRlIHRoZSBjb250ZW50IHRvEAEYABIOCgh0aGF0IHdpbBABGAAYAVoMdmU2eGQ5bWpuOHIzcgIgAHgAggEUc3VnZ2VzdC51cTZseG42d3p5MziaAQYIABAAGACwAQC4AQAY8+WV8uwyIJ6hwfLsMjAAQhRzdWdnZXN0LnVxNmx4bjZ3enkzOCKXAgoLQUFBQmptelR6bXMS4QEKC0FBQUJqbXpUem1zEgtBQUFCam16VHptcxoNCgl0ZXh0L2h0bWwSACIOCgp0ZXh0L3BsYWluEgAqGyIVMTA5NzExMDM5NzU5OTQyNzYyNzU5KAA4ADCnpJnP7TI4jqyZz+0ySkEKJGFwcGxpY2F0aW9uL3ZuZC5nb29nbGUtYXBwcy5kb2NzLm1kcxoZwtfa5AETGhEKDQoHbWVudCBvZhABGAAQAVoMdmJhdTduOGdjdmk3cgIgAHgAggEUc3VnZ2VzdC41b2dub3l5NmFqejmaAQYIABAAGACwAQC4AQAYp6SZz+0yII6smc/tMjAAQhRzdWdnZXN0LjVvZ25veXk2YWp6OSKkAgoLQUFBQmptelR6blUS7gEKC0FBQUJqbXpUem5VEgtBQUFCam16VHpuVRoNCgl0ZXh0L2h0bWwSACIOCgp0ZXh0L3BsYWluEgAqGyIVMTA5NzExMDM5NzU5OTQyNzYyNzU5KAA4ADDbz6nP7TI4tNOpz+0ySk4KJGFwcGxpY2F0aW9uL3ZuZC5nb29nbGUtYXBwcy5kb2NzLm1kcxomwtfa5AEgEh4KGgoUaGUgY29uc3VsdGFuY3kgc2hhbGwQARgAEAFaDGUyam83MGY5ZHY4dXICIAB4AIIBFHN1Z2dlc3QucmN2cnV4c3ZiYXRpmgEGCAAQABgAsAEAuAEAGNvPqc/tMiC006nP7TIwAEIUc3VnZ2VzdC5yY3ZydXhzdmJhdGkimwIKC0FBQUJqbXpUem13EuUBCgtBQUFCam16VHptdxILQUFBQmptelR6bXcaDQoJdGV4dC9odG1sEgAiDgoKdGV4dC9wbGFpbhIAKhsiFTEwOTcxMTAzOTc1OTk0Mjc2Mjc1OSgAOAAwkI6az+0yOKCbms/tMkpFCiRhcHBsaWNhdGlvbi92bmQuZ29vZ2xlLWFwcHMuZG9jcy5tZHMaHcLX2uQBFxoVChEKC3N1cHBvcnQgdGhlEAEYABABWgxianJzdmUzNWI2ZGhyAiAAeACCARRzdWdnZXN0LnJwNG5zZDZ6cGl4Y5oBBggAEAAYALABALgBABiQjprP7TIgoJuaz+0yMABCFHN1Z2dlc3QucnA0bnNkNnpwaXhjIp4CCgtBQUFCam16VHpuWRLoAQoLQUFBQmptelR6blkSC0FBQUJqbXpUem5ZGg0KCXRleHQvaHRtbBIAIg4KCnRleHQvcGxhaW4SACobIhUxMDk3MTEwMzk3NTk5NDI3NjI3NTkoADgAMLytq8/tMjjhvqvP7TJKSAokYXBwbGljYXRpb24vdm5kLmdvb2dsZS1hcHBzLmRvY3MubWRzGiDC19rkARoaGAoUCg5mYWNpbGl0YXRlIHRoZRABGAAQAVoMeDFneXFrMnJudHRwcgIgAHgAggEUc3VnZ2VzdC55bjdvMjFpczI4dTWaAQYIABAAGACwAQC4AQAYvK2rz+0yIOG+q8/tMjAAQhRzdWdnZXN0LnluN28yMWlzMjh1NSKZAgoLQUFBQmpaY0VWREES4wEKC0FBQUJqWmNFVkRBEgtBQUFCalpjRVZEQRoNCgl0ZXh0L2h0bWwSACIOCgp0ZXh0L3BsYWluEgAqGyIVMTEyMTI2MzUxNTk0NTc5MTk3NTU2KAA4ADCQ/KfG7TI4z4eoxu0ySkMKJGFwcGxpY2F0aW9uL3ZuZC5nb29nbGUtYXBwcy5kb2NzLm1kcxobwtfa5AEVGhMKDwoJTmljaGUgYW5kEAEYABABWgxzcDJxdzZkMjl2dGRyAiAAeACCARRzdWdnZXN0LnR1dWVmcHhqeGdnaJoBBggAEAAYALABALgBABiQ/KfG7TIgz4eoxu0yMABCFHN1Z2dlc3QudHV1ZWZweGp4Z2doIp8CCgtBQUFCalpjRVZDYxLpAQoLQUFBQmpaY0VWQ2MSC0FBQUJqWmNFVkNjGg0KCXRleHQvaHRtbBIAIg4KCnRleHQvcGxhaW4SACobIhUxMTIxMjYzNTE1OTQ1NzkxOTc1NTYoADgAMLLRnMbtMjiW3pzG7TJKSQokYXBwbGljYXRpb24vdm5kLmdvb2dsZS1hcHBzLmRvY3MubWRzGiHC19rkARsKGQoICgJhbBABGAASCwoFdXMgb24QARgAGAFaDGV3bGp0b3U2d2FnaHICIAB4AIIBFHN1Z2dlc3QuZWQ3a2phdXVzOHE4mgEGCAAQABgAsAEAuAEAGLLRnMbtMiCW3pzG7TIwAEIUc3VnZ2VzdC5lZDdramF1dXM4cTgi0BMKC0FBQUJqbXpUemtrEp4TCgtBQUFCam16VHpraxILQUFBQmptelR6a2sa/wQKCXRleHQvaHRtbBLxBE9uZSBvZiB0aGUgdGhpbmdzIHRoZSBuZXcgU09LTk9UIHN0cmF0ZWd5IGRpZCAtIGFuZCB3aGljaCB3YXMgZXhjZWxsZW50IC0gd2FzIHRvIGJlIHZlcnkgY2xlYXIgb24gd2hhdCB3ZXJlIHRoZSBrZXkgKGltbWVkaWF0ZSkgdGhyZWF0cyBhbmQgd2hhdCB3ZXJlIHRoZSBrZXkgKHVuZGVybHlpbmcgb3Igc3lzdGVtaWMpIGRyaXZlcnPCoCAuLmFuZCB0aGVuIHdpdGggdGhhdCBmcmFtaW5nIGRlc2lnbmluZyBpbml0aWF0aXZlcywgYWN0aXZpdGllcywgb3V0Y29tZXPCoHNwZWNpZmljYWxseSB0byBhZGRyZXNzIHRoZXNlIC0gZGVzY3JpYmVkIGFzICZxdW90O1N1c3RhaW5pbmcgV29yayBQYWNrYWdlcyZxdW90OyAodG8gYWRkcmVzcyB0aHJlYXRzLCAmcXVvdDtob2xkIHRoZSBsaW5lJnF1b3Q7KSBhbmQgJnF1b3Q7VHJhbnNmb3JtYXRpdmUgV29yayBQYWNrYWdlcyZxdW90OyAodG8gYWRkcmVzcyBkcml2ZXJzKSAuLi4gaXRzIGFuIGltcG9ydGFudCBkaXN0aW5jdGlvbiBhbmQgdG8gaGF2ZSB0cnVlIHN1c3RhaW5hYmxlIGltcGFjdCB3ZSBvZiBjb3Vyc2UgbmVlZCB0byB0YWNrbGUgYW5kIHRyYW5zZm9ybSBkcml2ZXJzIChhcyB3ZWxsIGFzIGRlYWwgd2l0aCBpbW1lZGlhdGUgdGhyZWF0cykgLi4i4gQKCnRleHQvcGxhaW4S0wRPbmUgb2YgdGhlIHRoaW5ncyB0aGUgbmV3IFNPS05PVCBzdHJhdGVneSBkaWQgLSBhbmQgd2hpY2ggd2FzIGV4Y2VsbGVudCAtIHdhcyB0byBiZSB2ZXJ5IGNsZWFyIG9uIHdoYXQgd2VyZSB0aGUga2V5IChpbW1lZGlhdGUpIHRocmVhdHMgYW5kIHdoYXQgd2VyZSB0aGUga2V5ICh1bmRlcmx5aW5nIG9yIHN5c3RlbWljKSBkcml2ZXJzwqAgLi5hbmQgdGhlbiB3aXRoIHRoYXQgZnJhbWluZyBkZXNpZ25pbmcgaW5pdGlhdGl2ZXMsIGFjdGl2aXRpZXMsIG91dGNvbWVzwqBzcGVjaWZpY2FsbHkgdG8gYWRkcmVzcyB0aGVzZSAtIGRlc2NyaWJlZCBhcyAiU3VzdGFpbmluZyBXb3JrIFBhY2thZ2VzIiAodG8gYWRkcmVzcyB0aHJlYXRzLCAiaG9sZCB0aGUgbGluZSIpIGFuZCAiVHJhbnNmb3JtYXRpdmUgV29yayBQYWNrYWdlcyIgKHRvIGFkZHJlc3MgZHJpdmVycykgLi4uIGl0cyBhbiBpbXBvcnRhbnQgZGlzdGluY3Rpb24gYW5kIHRvIGhhdmUgdHJ1ZSBzdXN0YWluYWJsZSBpbXBhY3Qgd2Ugb2YgY291cnNlIG5lZWQgdG8gdGFja2xlIGFuZCB0cmFuc2Zvcm0gZHJpdmVycyAoYXMgd2VsbCBhcyBkZWFsIHdpdGggaW1tZWRpYXRlIHRocmVhdHMpIC4uKhsiFTEwOTcxMTAzOTc1OTk0Mjc2Mjc1OSgAOAAwhcLdzu0yOILi14HzMkK9AwoLQUFBQmtoWmN2TE0SC0FBQUJqbXpUemtrGnYKCXRleHQvaHRtbBJpVGhhbmtzIERhdmlkLiBJIHRoaW5rIHRoaXMgaXMgYW4gaW1wb3J0YW50IHBvaW50LiBJJiMzOTt2ZSBpbnRlZ3JhdGVkIGl0IGludG8gdGhlIFRPUiBzZWUgd2hhdCB5b3UgdGhpbmsuInMKCnRleHQvcGxhaW4SZVRoYW5rcyBEYXZpZC4gSSB0aGluayB0aGlzIGlzIGFuIGltcG9ydGFudCBwb2ludC4gSSd2ZSBpbnRlZ3JhdGVkIGl0IGludG8gdGhlIFRPUiBzZWUgd2hhdCB5b3UgdGhpbmsuKhsiFTExMjEyNjM1MTU5NDU3OTE5NzU1NigAOAAwguLXgfMyOILi14HzMloMOW9lZ3B6OXFhZDR6cgIgAHgAmgEGCAAQABgAqgFrEmlUaGFua3MgRGF2aWQuIEkgdGhpbmsgdGhpcyBpcyBhbiBpbXBvcnRhbnQgcG9pbnQuIEkmIzM5O3ZlIGludGVncmF0ZWQgaXQgaW50byB0aGUgVE9SIHNlZSB3aGF0IHlvdSB0aGluay5KFQoKdGV4dC9wbGFpbhIHdGhyZWF0c1oMdjVhcGZseXVxY3d2cgIgAHgAmgEGCAAQABgAqgH0BBLxBE9uZSBvZiB0aGUgdGhpbmdzIHRoZSBuZXcgU09LTk9UIHN0cmF0ZWd5IGRpZCAtIGFuZCB3aGljaCB3YXMgZXhjZWxsZW50IC0gd2FzIHRvIGJlIHZlcnkgY2xlYXIgb24gd2hhdCB3ZXJlIHRoZSBrZXkgKGltbWVkaWF0ZSkgdGhyZWF0cyBhbmQgd2hhdCB3ZXJlIHRoZSBrZXkgKHVuZGVybHlpbmcgb3Igc3lzdGVtaWMpIGRyaXZlcnPCoCAuLmFuZCB0aGVuIHdpdGggdGhhdCBmcmFtaW5nIGRlc2lnbmluZyBpbml0aWF0aXZlcywgYWN0aXZpdGllcywgb3V0Y29tZXPCoHNwZWNpZmljYWxseSB0byBhZGRyZXNzIHRoZXNlIC0gZGVzY3JpYmVkIGFzICZxdW90O1N1c3RhaW5pbmcgV29yayBQYWNrYWdlcyZxdW90OyAodG8gYWRkcmVzcyB0aHJlYXRzLCAmcXVvdDtob2xkIHRoZSBsaW5lJnF1b3Q7KSBhbmQgJnF1b3Q7VHJhbnNmb3JtYXRpdmUgV29yayBQYWNrYWdlcyZxdW90OyAodG8gYWRkcmVzcyBkcml2ZXJzKSAuLi4gaXRzIGFuIGltcG9ydGFudCBkaXN0aW5jdGlvbiBhbmQgdG8gaGF2ZSB0cnVlIHN1c3RhaW5hYmxlIGltcGFjdCB3ZSBvZiBjb3Vyc2UgbmVlZCB0byB0YWNrbGUgYW5kIHRyYW5zZm9ybSBkcml2ZXJzIChhcyB3ZWxsIGFzIGRlYWwgd2l0aCBpbW1lZGlhdGUgdGhyZWF0cykgLi6wAQC4AQAYhcLdzu0yIILi14HzMjAAQhBraXguYTFrZWg2MjQ3bW5zIr4CCgtBQUFCalpjRVZERRKIAgoLQUFBQmpaY0VWREUSC0FBQUJqWmNFVkRFGg0KCXRleHQvaHRtbBIAIg4KCnRleHQvcGxhaW4SACobIhUxMTIxMjYzNTE1OTQ1NzkxOTc1NTYoADgAMKWnqMbtMjjehanG7TJKaAokYXBwbGljYXRpb24vdm5kLmdvb2dsZS1hcHBzLmRvY3MubWRzGkDC19rkAToaOAo0Ci5jbGVhciBwcm9wb3NhbCBmb3IgSUdDUOKAmXMgbmljaGUgYWxvbmcgd2l0aCBhEAEYABABWgxneW9vcnc2bTNlamhyAiAAeACCARRzdWdnZXN0LncxcW5tNXFtanF1dpoBBggAEAAYALABALgBABilp6jG7TIg3oWpxu0yMABCFHN1Z2dlc3QudzFxbm01cW1qcXV2IqAICgtBQUFCalpjRVZDZxLuBwoLQUFBQmpaY0VWQ2cSC0FBQUJqWmNFVkNnGsABCgl0ZXh0L2h0bWwSsgFUaGlzIHNob3VsZCBjb21lIGZpcnN0IC0gdGhlIGNsZWFyICYjMzk7bmljaGUmIzM5OyBmb3IgSUdDUCBzaG91bGQgYmUgZGVmaW5lZCBmaXJzdCwgYW5kIHNoYXBlIHRoZSByZXN0IG9mIHRoZSBzdHJhdGVnaWMgcGxhbi7CoCBTbyBzdWdnZXN0aW5nIG1vdmluZyB0aGlzIHVwIGFzICYjMzk7cG9pbnQgYSYjMzk7IrEBCgp0ZXh0L3BsYWluEqIBVGhpcyBzaG91bGQgY29tZSBmaXJzdCAtIHRoZSBjbGVhciAnbmljaGUnIGZvciBJR0NQIHNob3VsZCBiZSBkZWZpbmVkIGZpcnN0LCBhbmQgc2hhcGUgdGhlIHJlc3Qgb2YgdGhlIHN0cmF0ZWdpYyBwbGFuLsKgIFNvIHN1Z2dlc3RpbmcgbW92aW5nIHRoaXMgdXAgYXMgJ3BvaW50IGEnKhsiFTExMjEyNjM1MTU5NDU3OTE5NzU1NigAOAAwk9ujxu0yOJPbo8btMkrTAgoKdGV4dC9wbGFpbhLEAkRldGVybWluYXRpb24gb2YgSUdDUCdzIE5pY2hlClRoZSBjb25zdWx0YW50IHdpbGwgYW5hbHl6ZSB0aGUgY29uc2VydmF0aW9uIGxhbmRzY2FwZSB0byBpZGVudGlmeSBJR0NQJ3MgZGlzdGluY3RpdmUgcm9sZSBhbmQgZm9jdXMgYXJlYXMgZm9yIG1heGltdW0gaW1wYWN0LiBUaGlzIHdpbGwgaW5jbHVkZSBhc3Nlc3NpbmcgY29tcGFyYXRpdmUgYWR2YW50YWdlcyBhbmQgdW5pcXVlIHBvc2l0aW9uaW5nIG9wcG9ydHVuaXRpZXMgdGhhdCBhbGxvdyBJR0NQIHRvIGxldmVyYWdlIGl0cyBzdHJlbmd0aHMgYW5kIG1heGltaXplIGl0cyBjb25zZXJ2YXRpb24gaW1wYWN0LloMa3JxZmZ0bjVxeDJ0cgIgAHgAmgEGCAAQABgAqgG1ARKyAVRoaXMgc2hvdWxkIGNvbWUgZmlyc3QgLSB0aGUgY2xlYXIgJiMzOTtuaWNoZSYjMzk7IGZvciBJR0NQIHNob3VsZCBiZSBkZWZpbmVkIGZpcnN0LCBhbmQgc2hhcGUgdGhlIHJlc3Qgb2YgdGhlIHN0cmF0ZWdpYyBwbGFuLsKgIFNvIHN1Z2dlc3RpbmcgbW92aW5nIHRoaXMgdXAgYXMgJiMzOTtwb2ludCBhJiMzOTuwAQC4AQAYk9ujxu0yIJPbo8btMjAAQhBraXgudzZkbDI4OHRlaGVqIrwFCgtBQUFCam5hSk4yQRKLBQoLQUFBQmpuYUpOMkESC0FBQUJqbmFKTjJBGqQBCgl0ZXh0L2h0bWwSlgFTaW1pbGFybHkgLSBJIHRoaW5rIHRoaXMgbmVlZHMgdG8gcmVmZXJlbmNlIGEgVG9DIGhhcyBhbHJlYWR5IGJlZW4gZGV2ZWxvcGVkLCBzbyB0aGUgdGFzayB3b3VsZCBiZSB0byByZXZpZXcgYW5kIGlkZW50aWZ5IGFyZWFzIG5lZWRpbmcgdG8gYmUgdXBkYXRlZD8ipQEKCnRleHQvcGxhaW4SlgFTaW1pbGFybHkgLSBJIHRoaW5rIHRoaXMgbmVlZHMgdG8gcmVmZXJlbmNlIGEgVG9DIGhhcyBhbHJlYWR5IGJlZW4gZGV2ZWxvcGVkLCBzbyB0aGUgdGFzayB3b3VsZCBiZSB0byByZXZpZXcgYW5kIGlkZW50aWZ5IGFyZWFzIG5lZWRpbmcgdG8gYmUgdXBkYXRlZD8qGyIVMTE3NjY0MjUzMTM0MjM4NDk0ODAwKAA4ADC8gIzy7DI4vICM8uwySjUKCnRleHQvcGxhaW4SJ0RldmVsb3AgYSBUaGVvcnkgb2YgQ2hhbmdlL1Jlc3VsdCBjaGFpbloMeDI2ejUxdDhnZzRjcgIgAHgAmgEGCAAQABgAqgGZARKWAVNpbWlsYXJseSAtIEkgdGhpbmsgdGhpcyBuZWVkcyB0byByZWZlcmVuY2UgYSBUb0MgaGFzIGFscmVhZHkgYmVlbiBkZXZlbG9wZWQsIHNvIHRoZSB0YXNrIHdvdWxkIGJlIHRvIHJldmlldyBhbmQgaWRlbnRpZnkgYXJlYXMgbmVlZGluZyB0byBiZSB1cGRhdGVkP7ABALgBABi8gIzy7DIgvICM8uwyMABCD2tpeC4zcHRreXc4N3RobCKfAgoLQUFBQmptelR6bTAS6QEKC0FBQUJqbXpUem0wEgtBQUFCam16VHptMBoNCgl0ZXh0L2h0bWwSACIOCgp0ZXh0L3BsYWluEgAqGyIVMTA5NzExMDM5NzU5OTQyNzYyNzU5KAA4ADDKo5rP7TI407iaz+0ySkkKJGFwcGxpY2F0aW9uL3ZuZC5nb29nbGUtYXBwcy5kb2NzLm1kcxohwtfa5AEbChkKDAoGaW9uIG9mEAEYABIHCgFlEAEYABgBWgxqNDFuZ25ydW92ZzVyAiAAeACCARRzdWdnZXN0LjRxYXlhZHRhM2RoMJoBBggAEAAYALABALgBABjKo5rP7TIg07iaz+0yMABCFHN1Z2dlc3QuNHFheWFkdGEzZGgwIpICCgtBQUFCalpjRVZESRLcAQoLQUFBQmpaY0VWREkSC0FBQUJqWmNFVkRJGg0KCXRleHQvaHRtbBIAIg4KCnRleHQvcGxhaW4SACobIhUxMTIxMjYzNTE1OTQ1NzkxOTc1NTYoADgAMKfMq8btMjjK16vG7TJKPAokYXBwbGljYXRpb24vdm5kLmdvb2dsZS1hcHBzLmRvY3MubWRzGhTC19rkAQ4aDAoICgJIaRABGAAQAVoMYmR0bjd5M3Fja2s4cgIgAHgAggEUc3VnZ2VzdC5ta2Z1NHFmbmUxMmaaAQYIABAAGACwAQC4AQAYp8yrxu0yIMrXq8btMjAAQhRzdWdnZXN0Lm1rZnU0cWZuZTEyZiKvAgoLQUFBQmpuYUpOMjQS+gEKC0FBQUJqbmFKTjI0EgtBQUFCam5hSk4yNBoNCgl0ZXh0L2h0bWwSACIOCgp0ZXh0L3BsYWluEgAqGyIVMTE3NjY0MjUzMTM0MjM4NDk0ODAwKAA4ADCDpsXy7DI4/f/F8uwySlsKJGFwcGxpY2F0aW9uL3ZuZC5nb29nbGUtYXBwcy5kb2NzLm1kcxozwtfa5AEtCisKEgoMdGhlIGV4aXN0aW5nEAEYABITCg1jb21wcmVoZW5zaXZlEAEYABgBWgxwbTB0eHQ0MmF3bmZyAiAAeACCARNzdWdnZXN0LmF5NWRzeWw2aHZkmgEGCAAQABgAsAEAuAEAGIOmxfLsMiD9/8Xy7DIwAEITc3VnZ2VzdC5heTVkc3lsNmh2ZCKZAgoLQUFBQmpaY0VWRE0S4wEKC0FBQUJqWmNFVkRNEgtBQUFCalpjRVZETRoNCgl0ZXh0L2h0bWwSACIOCgp0ZXh0L3BsYWluEgAqGyIVMTEyMTI2MzUxNTk0NTc5MTk3NTU2KAA4ADDZ3qvG7TI42uqrxu0ySkMKJGFwcGxpY2F0aW9uL3ZuZC5nb29nbGUtYXBwcy5kb2NzLm1kcxobwtfa5AEVGhMKDwoJTmljaGUgYW5kEAEYABABWgxmZnFmNXNqemh2ZzVyAiAAeACCARRzdWdnZXN0LjF1bW9uOWYwNHJ5eJoBBggAEAAYALABALgBABjZ3qvG7TIg2uqrxu0yMABCFHN1Z2dlc3QuMXVtb245ZjA0cnl4Ip8CCgtBQUFCalpjRVVfSRLpAQoLQUFBQmpaY0VVX0kSC0FBQUJqWmNFVV9JGg0KCXRleHQvaHRtbBIAIg4KCnRleHQvcGxhaW4SACobIhUxMTIxMjYzNTE1OTQ1NzkxOTc1NTYoADgAMJ2Z+MXtMjiKn/jF7TJKSQokYXBwbGljYXRpb24vdm5kLmdvb2dsZS1hcHBzLmRvY3MubWRzGiHC19rkARsKGQoKCgRvdmVyEAEYABIJCgNmb3IQARgAGAFaDHBhdjdlMHh5aXppbXICIAB4AIIBFHN1Z2dlc3QuZnAwN2NrbWYyd3RnmgEGCAAQABgAsAEAuAEAGJ2Z+MXtMiCKn/jF7TIwAEIUc3VnZ2VzdC5mcDA3Y2ttZjJ3dGciqQIKC0FBQUJqbmFKTjI4EvMBCgtBQUFCam5hSk4yOBILQUFBQmpuYUpOMjgaDQoJdGV4dC9odG1sEgAiDgoKdGV4dC9wbGFpbhIAKhsiFTExNzY2NDI1MzEzNDIzODQ5NDgwMCgAOAAwpqnG8uwyONelx/LsMkpTCiRhcHBsaWNhdGlvbi92bmQuZ29vZ2xlLWFwcHMuZG9jcy5tZHMaK8LX2uQBJRojCh8KGWVuc3VyZSBpdCBjYW4gZWZmZWN0aXZlbHkQARgAEAFaDHg3a3YxZmF0bzNlYXICIAB4AIIBFHN1Z2dlc3QueGFnZ2x6OHdjYzN5mgEGCAAQABgAsAEAuAEAGKapxvLsMiDXpcfy7DIwAEIUc3VnZ2VzdC54YWdnbHo4d2NjM3kitQIKC0FBQUJqbXpUemw4Ev8BCgtBQUFCam16VHpsOBILQUFBQmptelR6bDgaDQoJdGV4dC9odG1sEgAiDgoKdGV4dC9wbGFpbhIAKhsiFTEwOTcxMTAzOTc1OTk0Mjc2Mjc1OSgAOAAw8pOGz+0yOKDNhs/tMkpgCiRhcHBsaWNhdGlvbi92bmQuZ29vZ2xlLWFwcHMuZG9jcy5tZHMaOMLX2uQBMgowChsKFVJldmlldyBhbmQgcmV2aXNlIHRoZRABGAASDwoJRGV2ZWxvcCBhEAEYABgBWgt0M3g2bzJrZmE2OXICIAB4AIIBFHN1Z2dlc3QuczczcmR4YnFuMnFsmgEGCAAQABgAsAEAuAEAGPKThs/tMiCgzYbP7TIwAEIUc3VnZ2VzdC5zNzNyZHhicW4ycWwinAIKC0FBQUJqWmNFVV9REucBCgtBQUFCalpjRVVfURILQUFBQmpaY0VVX1EaDQoJdGV4dC9odG1sEgAiDgoKdGV4dC9wbGFpbhIAKhsiFTExMjEyNjM1MTU5NDU3OTE5NzU1NigAOAAwpqz4xe0yONPi+MXtMkpICiRhcHBsaWNhdGlvbi92bmQuZ29vZ2xlLWFwcHMuZG9jcy5tZHMaIMLX2uQBGhoYChQKDigyMDI1IHRvIDIwMzApEAEYABABWgxiM2xsM3FhdWM1NWhyAiAAeACCARNzdWdnZXN0LnF4aW12MXQwdDY4mgEGCAAQABgAsAEAuAEAGKas+MXtMiDT4vjF7TIwAEITc3VnZ2VzdC5xeGltdjF0MHQ2OCLBAgoLQUFBQmpuYUpOMlESiwIKC0FBQUJqbmFKTjJREgtBQUFCam5hSk4yURoNCgl0ZXh0L2h0bWwSACIOCgp0ZXh0L3BsYWluEgAqGyIVMTE3NjY0MjUzMTM0MjM4NDk0ODAwKAA4ADDo2ZLy7DI4k+qT8uwySmsKJGFwcGxpY2F0aW9uL3ZuZC5nb29nbGUtYXBwcy5kb2NzLm1kcxpDwtfa5AE9ChYKBwoBYRABGAASCQoDdGhlEAEYABgBCiMKDAoGcmV2aWV3EAEYABIRCgtkZXZlbG9wbWVudBABGAAYAVoMZnhmYnQ2OTF6OWk5cgIgAHgAggEUc3VnZ2VzdC54MmFxdGhnYmpydjKaAQYIABAAGACwAQC4AQAY6NmS8uwyIJPqk/LsMjAAQhRzdWdnZXN0LngyYXF0aGdianJ2MiL1AgoLQUFBQmptelR6bDASvwIKC0FBQUJqbXpUemwwEgtBQUFCam16VHpsMBoNCgl0ZXh0L2h0bWwSACIOCgp0ZXh0L3BsYWluEgAqGyIVMTA5NzExMDM5NzU5OTQyNzYyNzU5KAA4ADDI3f3O7TI4iayBz+0ySp4BCiRhcHBsaWNhdGlvbi92bmQuZ29vZ2xlLWFwcHMuZG9jcy5tZHMadsLX2uQBcBpuCmoKZEhhdmluZyByZXZpZXdlZCBhbmQgdGFrZW4gbm90ZSBvZiB0aGUgY3VycmVudCBJR0NQIHN0cmF0ZWd5ICgyMDIwLTIwMjUpIHRoZSBjb25zdWx0YW5jeSB3aWxsIHdvcmsgd2kQARgBEAFaDHA0c2gwbm9nYm53dXICIAB4AIIBFHN1Z2dlc3QubXhsZTR1aDcydmFhmgEGCAAQABgAsAEAuAEAGMjd/c7tMiCJrIHP7TIwAEIUc3VnZ2VzdC5teGxlNHVoNzJ2YWEilwIKC0FBQUJqbXpUemw0EuEBCgtBQUFCam16VHpsNBILQUFBQmptelR6bDQaDQoJdGV4dC9odG1sEgAiDgoKdGV4dC9wbGFpbhIAKhsiFTEwOTcxMTAzOTc1OTk0Mjc2Mjc1OSgAOAAwp6uEz+0yOMmyhM/tMkpBCiRhcHBsaWNhdGlvbi92bmQuZ29vZ2xlLWFwcHMuZG9jcy5tZHMaGcLX2uQBExoRCg0KB3VwZGF0ZWQQARgAEAFaDG1mc285b2JtcGh6cHICIAB4AIIBFHN1Z2dlc3QuOXRvam9mZ2tnYmh2mgEGCAAQABgAsAEAuAEAGKerhM/tMiDJsoTP7TIwAEIUc3VnZ2VzdC45dG9qb2Zna2diaHYipAwKC0FBQUJqbmFKTjJJEvILCgtBQUFCam5hSk4ySRILQUFBQmpuYUpOMkkatgEKCXRleHQvaHRtbBKoAUFnYWluLCB0aGlzIG5lZWQgdG8gYnVpbGQgb24gZXhpc3Rpbmcgd29yay4gVGhlIE1FTCBwbGFuIG5lZWRzIHVwZGF0aW5nIGFuZCBhIGdvb2QgY3JpdGljYWwgcmV2aWV3LCBidXQgdGhpcyBpcyBub3QgYSBjYXNlIG9mIHN0YXJ0aW5nIGZyb20gdGhlIGNvbXBsZXRlIGJlZ2lubmluZyBhZ2FpbiK3AQoKdGV4dC9wbGFpbhKoAUFnYWluLCB0aGlzIG5lZWQgdG8gYnVpbGQgb24gZXhpc3Rpbmcgd29yay4gVGhlIE1FTCBwbGFuIG5lZWRzIHVwZGF0aW5nIGFuZCBhIGdvb2QgY3JpdGljYWwgcmV2aWV3LCBidXQgdGhpcyBpcyBub3QgYSBjYXNlIG9mIHN0YXJ0aW5nIGZyb20gdGhlIGNvbXBsZXRlIGJlZ2lubmluZyBhZ2FpbiobIhUxMTc2NjQyNTMxMzQyMzg0OTQ4MDAoADgAMNO+j/LsMjjP1fjI7TJCogYKC0FBQUJqYVhMbWk4EgtBQUFCam5hSk4ySRrqAQoJdGV4dC9odG1sEtwBTXkgc2Vuc2UgaXMgdGhhdCB3aGF0JiMzOTtzIHJlZmVycmVkIHRvIGhlcmUgaXMgdGhlIE1FTCBmcmFtZXdvcmsgYXJpc2luZyBmcm9tIHRoZSBuZXcgc3RyYXRlZ2ljIHBsYW4uIEl0cyBzaG91bGQgY2VydGFpbmx5IGJ1aWxkIG9uIGV4aXN0aW5nIE1FTCBmcmFtZXdvcmsgYnV0IHdpbGwgYWxzbyBsYXJnZWx5IGRlcGVuZCBvbiB0aGUgY29udGVudHMgb2YgdGhlIG5ldyBzdHJhdGVneSLnAQoKdGV4dC9wbGFpbhLYAU15IHNlbnNlIGlzIHRoYXQgd2hhdCdzIHJlZmVycmVkIHRvIGhlcmUgaXMgdGhlIE1FTCBmcmFtZXdvcmsgYXJpc2luZyBmcm9tIHRoZSBuZXcgc3RyYXRlZ2ljIHBsYW4uIEl0cyBzaG91bGQgY2VydGFpbmx5IGJ1aWxkIG9uIGV4aXN0aW5nIE1FTCBmcmFtZXdvcmsgYnV0IHdpbGwgYWxzbyBsYXJnZWx5IGRlcGVuZCBvbiB0aGUgY29udGVudHMgb2YgdGhlIG5ldyBzdHJhdGVneSobIhUxMTYxMTg2ODU4ODQ1NTQ5MTU0MjAoADgAMM/V+MjtMjjP1fjI7TJaDGo2MDljcWNubnByNHICIAB4AJoBBggAEAAYAKoB3wES3AFNeSBzZW5zZSBpcyB0aGF0IHdoYXQmIzM5O3MgcmVmZXJyZWQgdG8gaGVyZSBpcyB0aGUgTUVMIGZyYW1ld29yayBhcmlzaW5nIGZyb20gdGhlIG5ldyBzdHJhdGVnaWMgcGxhbi4gSXRzIHNob3VsZCBjZXJ0YWlubHkgYnVpbGQgb24gZXhpc3RpbmcgTUVMIGZyYW1ld29yayBidXQgd2lsbCBhbHNvIGxhcmdlbHkgZGVwZW5kIG9uIHRoZSBjb250ZW50cyBvZiB0aGUgbmV3IHN0cmF0ZWd5sAEAuAEASkEKCnRleHQvcGxhaW4SM0RldmVsb3AgYSBtb25pdG9yaW5nIGFuZCBldmFsdWF0aW9uIChNJkUpIGZyYW1ld29ya1oMNnF0d2YxZWZkbWxqcgIgAHgAmgEGCAAQABgAqgGrARKoAUFnYWluLCB0aGlzIG5lZWQgdG8gYnVpbGQgb24gZXhpc3Rpbmcgd29yay4gVGhlIE1FTCBwbGFuIG5lZWRzIHVwZGF0aW5nIGFuZCBhIGdvb2QgY3JpdGljYWwgcmV2aWV3LCBidXQgdGhpcyBpcyBub3QgYSBjYXNlIG9mIHN0YXJ0aW5nIGZyb20gdGhlIGNvbXBsZXRlIGJlZ2lubmluZyBhZ2FpbrABALgBABjTvo/y7DIgz9X4yO0yMABCEGtpeC56aDczNjByYWVzcjE4AGokChRzdWdnZXN0LndpdTV1Z20ybjZxcxIMRGF2aWQgVGFubmVyaiQKFHN1Z2dlc3QuY3BkMG0zd2NiNmp3EgxQYXVsIEhhdGFuZ2FqJAoUc3VnZ2VzdC5lY24yajhicWo3NGsSDERhdmlkIFRhbm5lcmolChRzdWdnZXN0LndqOW94YmxyN2dwchINV2VuZHkgRWxsaW90dGolChRzdWdnZXN0LmR1MWZiaGF3aGh6eBINV2VuZHkgRWxsaW90dGolChRzdWdnZXN0LnRldW85ZmlmcmlmdRINV2VuZHkgRWxsaW90dGolChRzdWdnZXN0Lm56cHQzc3lnYWUzeRINV2VuZHkgRWxsaW90dGolChRzdWdnZXN0LndqYng1N3pkNmg1dBINV2VuZHkgRWxsaW90dGojChRzdWdnZXN0LjhkMTY5dGZwbjZhdBILQ2F0aCBMYXdzb25qJQoUc3VnZ2VzdC50a2lzaXpxeDBncmoSDVdlbmR5IEVsbGlvdHRqJQoUc3VnZ2VzdC5lYzVqeWNmYmRhMzISDVdlbmR5IEVsbGlvdHRqJQoUc3VnZ2VzdC55ZmthYWhybmh2dmQSDVdlbmR5IEVsbGlvdHRqIwoUc3VnZ2VzdC4xdmo4NHN1ZXQ2d28SC0plc3MgRmFyaXNoaiQKFHN1Z2dlc3QuZ3h5cWtld3l2YzRxEgxEYXZpZCBUYW5uZXJqJQoUc3VnZ2VzdC52Z2tnZWsyYWc0NGoSDVdlbmR5IEVsbGlvdHRqJAoUc3VnZ2VzdC5ubjU5OHlsaWl0bnESDERhdmlkIFRhbm5lcmokChRzdWdnZXN0LmowZnA5bzFkbXltZhIMRGF2aWQgVGFubmVyaiQKFHN1Z2dlc3QubjZmZ3pza3BqNG1pEgxEYXZpZCBUYW5uZXJqJAoUc3VnZ2VzdC5uano5dTBsbTB2YWUSDERhdmlkIFRhbm5lcmojChRzdWdnZXN0LjFhNGk4M3E4ZTUxNBILSmVzcyBGYXJpc2hqJAoUc3VnZ2VzdC5wMjZoMHJjeDN0amYSDERhdmlkIFRhbm5lcmokChRzdWdnZXN0LnJvYW41amd6bzl4dRIMRGF2aWQgVGFubmVyaiUKFHN1Z2dlc3QubTBvOThpYW5pZWU5Eg1XZW5keSBFbGxpb3R0aiUKFHN1Z2dlc3Qud2V3MXlpaDdhM3FoEg1XZW5keSBFbGxpb3R0aiUKFHN1Z2dlc3QucWo0bWRqeDJidzN4Eg1XZW5keSBFbGxpb3R0aiQKE3N1Z2dlc3QuMjA5dXJueG43aWESDVdlbmR5IEVsbGlvdHRqJAoUc3VnZ2VzdC54YnU1N3JpYnlweHASDERhdmlkIFRhbm5lcmolChRzdWdnZXN0LmR3b2NieTY1eGR1bBINV2VuZHkgRWxsaW90dGolChRzdWdnZXN0LmZqNDhpZjIwY2d2ORINV2VuZHkgRWxsaW90dGojChRzdWdnZXN0Lm16N2g0bzd0emg0cRILSmVzcyBGYXJpc2hqIwoUc3VnZ2VzdC51cTZseG42d3p5MzgSC0plc3MgRmFyaXNoaiQKFHN1Z2dlc3QuNW9nbm95eTZhano5EgxEYXZpZCBUYW5uZXJqJAoUc3VnZ2VzdC5yY3ZydXhzdmJhdGkSDERhdmlkIFRhbm5lcmokChRzdWdnZXN0LnJwNG5zZDZ6cGl4YxIMRGF2aWQgVGFubmVyaiQKFHN1Z2dlc3QueW43bzIxaXMyOHU1EgxEYXZpZCBUYW5uZXJqJQoUc3VnZ2VzdC50dXVlZnB4anhnZ2gSDVdlbmR5IEVsbGlvdHRqJQoUc3VnZ2VzdC5lZDdramF1dXM4cTgSDVdlbmR5IEVsbGlvdHRqJQoUc3VnZ2VzdC53MXFubTVxbWpxdXYSDVdlbmR5IEVsbGlvdHRqJAoUc3VnZ2VzdC40cWF5YWR0YTNkaDASDERhdmlkIFRhbm5lcmolChRzdWdnZXN0Lm1rZnU0cWZuZTEyZhINV2VuZHkgRWxsaW90dGoiChNzdWdnZXN0LmF5NWRzeWw2aHZkEgtKZXNzIEZhcmlzaGolChRzdWdnZXN0LjF1bW9uOWYwNHJ5eBINV2VuZHkgRWxsaW90dGolChRzdWdnZXN0LmZwMDdja21mMnd0ZxINV2VuZHkgRWxsaW90dGojChRzdWdnZXN0LnhhZ2dsejh3Y2MzeRILSmVzcyBGYXJpc2hqJAoUc3VnZ2VzdC5zNzNyZHhicW4ycWwSDERhdmlkIFRhbm5lcmolChRzdWdnZXN0LmUzMmtzcTN6anlpMRINV2VuZHkgRWxsaW90dGokChNzdWdnZXN0LnF4aW12MXQwdDY4Eg1XZW5keSBFbGxpb3R0aiMKFHN1Z2dlc3QueDJhcXRoZ2JqcnYyEgtKZXNzIEZhcmlzaGokChRzdWdnZXN0Lm14bGU0dWg3MnZhYRIMRGF2aWQgVGFubmVyaiQKFHN1Z2dlc3QuOXRvam9mZ2tnYmh2EgxEYXZpZCBUYW5uZXJyITFKN0liSEltanJhRkxkeXNpNVhoaFRzaWlMNnlFR00xVQ==</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Template>
  <Pages>8</Pages>
  <Words>2713</Words>
  <Characters>15470</Characters>
  <Lines>128</Lines>
  <Paragraphs>36</Paragraphs>
  <TotalTime>10</TotalTime>
  <ScaleCrop>false</ScaleCrop>
  <LinksUpToDate>false</LinksUpToDate>
  <CharactersWithSpaces>18147</CharactersWithSpaces>
  <Application>WPS Office_12.2.0.21546_F1E327BC-269C-435d-A152-05C5408002CA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2025-07-01T10:31:00Z</dcterms:created>
  <dc:creator>Wellard Makambo</dc:creator>
  <cp:lastModifiedBy>HP</cp:lastModifiedBy>
  <dcterms:modified xsi:type="dcterms:W3CDTF">2025-07-01T11:52:18Z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1033-12.2.0.21546</vt:lpwstr>
  </property>
  <property fmtid="{D5CDD505-2E9C-101B-9397-08002B2CF9AE}" pid="3" name="ICV">
    <vt:lpwstr>8FD72B108DE54F66865D36F52E1DE2DF_13</vt:lpwstr>
  </property>
</Properties>
</file>